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81" w:right="30"/>
        <w:jc w:val="right"/>
        <w:spacing w:before="20" w:after="20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</w:t>
      </w:r>
      <w:r>
        <w:rPr>
          <w:sz w:val="22"/>
          <w:szCs w:val="22"/>
        </w:rPr>
        <w:t xml:space="preserve">ние 3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81" w:right="30"/>
        <w:jc w:val="right"/>
        <w:spacing w:before="20" w:after="20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Администрации муниципального округа Суетский район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81" w:right="30"/>
        <w:jc w:val="right"/>
        <w:spacing w:before="20" w:after="20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Алтайского края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81"/>
        <w:widowControl w:val="off"/>
        <w:rPr>
          <w:caps/>
          <w:sz w:val="27"/>
          <w:szCs w:val="27"/>
        </w:rPr>
      </w:pPr>
      <w:r>
        <w:rPr>
          <w:sz w:val="22"/>
          <w:szCs w:val="22"/>
        </w:rPr>
        <w:t xml:space="preserve">                   от 14.07.</w:t>
      </w:r>
      <w:r>
        <w:rPr>
          <w:sz w:val="22"/>
          <w:szCs w:val="22"/>
        </w:rPr>
        <w:t xml:space="preserve">2025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139</w:t>
      </w:r>
      <w:r>
        <w:rPr>
          <w:caps/>
          <w:sz w:val="27"/>
          <w:szCs w:val="27"/>
        </w:rPr>
      </w:r>
    </w:p>
    <w:p>
      <w:pPr>
        <w:jc w:val="center"/>
        <w:spacing w:line="192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line="192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ЗАЯВКИ НА УЧАСТИЕ В АУКЦИОНЕ В ЭЛЕКТРОННОЙ ФОРМЕ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продаже имущества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-284"/>
        <w:rPr>
          <w:sz w:val="24"/>
          <w:szCs w:val="24"/>
        </w:rPr>
      </w:pPr>
      <w:r/>
      <w:bookmarkStart w:id="0" w:name="OLE_LINK6"/>
      <w:r/>
      <w:bookmarkStart w:id="1" w:name="OLE_LINK5"/>
      <w:r/>
      <w:bookmarkEnd w:id="0"/>
      <w:r/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284"/>
        <w:rPr>
          <w:sz w:val="24"/>
          <w:szCs w:val="24"/>
        </w:rPr>
        <w:pBdr>
          <w:bottom w:val="single" w:color="000000" w:sz="4" w:space="1"/>
        </w:pBdr>
      </w:pPr>
      <w:r>
        <w:rPr>
          <w:b/>
          <w:sz w:val="24"/>
          <w:szCs w:val="24"/>
        </w:rPr>
        <w:t xml:space="preserve">Претендент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(</w:t>
      </w:r>
      <w:r>
        <w:rPr>
          <w:bCs/>
          <w:sz w:val="24"/>
          <w:szCs w:val="24"/>
        </w:rPr>
        <w:t xml:space="preserve">Ф.И.О. физического лица, индивидуального предпринимателя,</w:t>
      </w:r>
      <w:r>
        <w:rPr>
          <w:bCs/>
          <w:sz w:val="24"/>
          <w:szCs w:val="24"/>
        </w:rPr>
        <w:br/>
        <w:t xml:space="preserve">наименование юридического лица с указанием организационно-правовой формы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284"/>
        <w:rPr>
          <w:sz w:val="24"/>
          <w:szCs w:val="24"/>
        </w:rPr>
        <w:pBdr>
          <w:bottom w:val="single" w:color="000000" w:sz="4" w:space="1"/>
        </w:pBdr>
      </w:pPr>
      <w:r>
        <w:rPr>
          <w:b/>
          <w:sz w:val="24"/>
          <w:szCs w:val="24"/>
        </w:rPr>
        <w:t xml:space="preserve">в лице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bCs/>
          <w:sz w:val="24"/>
          <w:szCs w:val="24"/>
        </w:rPr>
        <w:t xml:space="preserve">Ф.И.О. руководителя юридического лица или уполномоченного лица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284"/>
        <w:jc w:val="both"/>
        <w:rPr>
          <w:b/>
          <w:bCs/>
          <w:sz w:val="24"/>
          <w:szCs w:val="24"/>
        </w:rPr>
        <w:pBdr>
          <w:bottom w:val="single" w:color="000000" w:sz="4" w:space="1"/>
        </w:pBdr>
      </w:pPr>
      <w:r>
        <w:rPr>
          <w:b/>
          <w:bCs/>
          <w:sz w:val="24"/>
          <w:szCs w:val="24"/>
        </w:rPr>
        <w:t xml:space="preserve">действующего на основании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(Устав, Положение, Соглашение и т.д.)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94"/>
      </w:tblGrid>
      <w:tr>
        <w:tblPrEx/>
        <w:trPr>
          <w:trHeight w:val="1124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(заполняется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физическим лицом, индивидуальным предпринимателем)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Паспортные данные: серия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кем выдан: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ind w:left="-284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контактный телефон:       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ОГРНИП (для индивидуального предпринимателя) №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24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(заполняется юридическим лицом)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Адрес местонахождения:    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Контактный телефон:   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ИНН                                                 КПП                                             ОГРН   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66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5000" w:type="pc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  <w:pBdr>
                <w:bottom w:val="single" w:color="000000" w:sz="4" w:space="1"/>
              </w:pBdr>
            </w:pPr>
            <w:r>
              <w:rPr>
                <w:b/>
                <w:sz w:val="24"/>
                <w:szCs w:val="24"/>
              </w:rPr>
              <w:t xml:space="preserve">Представитель Заявителя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Действует на основании </w:t>
            </w:r>
            <w:r>
              <w:rPr>
                <w:sz w:val="24"/>
                <w:szCs w:val="24"/>
                <w:u w:val="single"/>
              </w:rPr>
              <w:t xml:space="preserve">доверенности ,</w:t>
            </w:r>
            <w:r>
              <w:rPr>
                <w:sz w:val="24"/>
                <w:szCs w:val="24"/>
                <w:u w:val="single"/>
              </w:rPr>
              <w:t xml:space="preserve"> №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Паспортные данные представителя: серия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кем выдан:  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Адрес места жительства (по паспорту):         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-426"/>
        <w:jc w:val="both"/>
        <w:spacing w:before="1" w:after="1" w:line="192" w:lineRule="auto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-426"/>
        <w:jc w:val="both"/>
        <w:spacing w:before="1" w:after="1" w:line="192" w:lineRule="auto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принял решение об участии в аукционе в электронной форме</w:t>
      </w:r>
      <w:r>
        <w:rPr>
          <w:b/>
          <w:bCs/>
          <w:sz w:val="24"/>
          <w:szCs w:val="24"/>
        </w:rPr>
        <w:t xml:space="preserve"> №____________, лот № ____</w:t>
      </w:r>
      <w:r>
        <w:rPr>
          <w:b/>
          <w:bCs/>
          <w:sz w:val="24"/>
          <w:szCs w:val="24"/>
        </w:rPr>
        <w:t xml:space="preserve"> по продаже имущества и обязуется обеспечить поступление задатка в размер ____________________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-426"/>
        <w:jc w:val="both"/>
        <w:spacing w:before="1" w:after="1" w:line="192" w:lineRule="auto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numPr>
          <w:ilvl w:val="0"/>
          <w:numId w:val="1"/>
        </w:numPr>
        <w:ind w:left="-567" w:hanging="284"/>
        <w:jc w:val="both"/>
        <w:tabs>
          <w:tab w:val="clear" w:pos="360" w:leader="none"/>
        </w:tabs>
        <w:rPr>
          <w:sz w:val="22"/>
          <w:szCs w:val="24"/>
        </w:rPr>
      </w:pPr>
      <w:r>
        <w:rPr>
          <w:sz w:val="22"/>
          <w:szCs w:val="24"/>
        </w:rPr>
        <w:t xml:space="preserve">Претендент обязуется: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numPr>
          <w:ilvl w:val="1"/>
          <w:numId w:val="1"/>
        </w:numPr>
        <w:ind w:left="-567" w:hanging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22"/>
          <w:szCs w:val="24"/>
          <w:vertAlign w:val="superscript"/>
        </w:rPr>
        <w:footnoteReference w:id="4"/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numPr>
          <w:ilvl w:val="1"/>
          <w:numId w:val="1"/>
        </w:numPr>
        <w:ind w:left="-567" w:hanging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numPr>
          <w:ilvl w:val="0"/>
          <w:numId w:val="1"/>
        </w:numPr>
        <w:ind w:left="-567" w:hanging="284"/>
        <w:jc w:val="both"/>
        <w:tabs>
          <w:tab w:val="clear" w:pos="360" w:leader="none"/>
        </w:tabs>
        <w:rPr>
          <w:sz w:val="22"/>
          <w:szCs w:val="24"/>
        </w:rPr>
      </w:pPr>
      <w:r>
        <w:rPr>
          <w:sz w:val="22"/>
          <w:szCs w:val="24"/>
        </w:rPr>
        <w:t xml:space="preserve">Задаток Победителя аукциона засчитывается в счет оплаты приобретаемого имущества.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numPr>
          <w:ilvl w:val="0"/>
          <w:numId w:val="1"/>
        </w:numPr>
        <w:ind w:left="-567" w:hanging="284"/>
        <w:jc w:val="both"/>
        <w:tabs>
          <w:tab w:val="clear" w:pos="360" w:leader="none"/>
        </w:tabs>
        <w:rPr>
          <w:sz w:val="22"/>
          <w:szCs w:val="24"/>
        </w:rPr>
      </w:pPr>
      <w:r>
        <w:rPr>
          <w:sz w:val="22"/>
          <w:szCs w:val="24"/>
        </w:rPr>
        <w:t xml:space="preserve">Претендент согласен и </w:t>
      </w:r>
      <w:r>
        <w:rPr>
          <w:sz w:val="22"/>
          <w:szCs w:val="24"/>
        </w:rPr>
        <w:t xml:space="preserve">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22"/>
          <w:szCs w:val="24"/>
        </w:rPr>
        <w:t xml:space="preserve">и он не имеет претензий к ним</w:t>
      </w:r>
      <w:r>
        <w:rPr>
          <w:sz w:val="22"/>
          <w:szCs w:val="24"/>
        </w:rPr>
        <w:t xml:space="preserve">.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numPr>
          <w:ilvl w:val="0"/>
          <w:numId w:val="1"/>
        </w:numPr>
        <w:ind w:left="-567" w:hanging="284"/>
        <w:jc w:val="both"/>
        <w:tabs>
          <w:tab w:val="num" w:pos="0" w:leader="none"/>
          <w:tab w:val="clear" w:pos="360" w:leader="none"/>
        </w:tabs>
        <w:rPr>
          <w:sz w:val="22"/>
          <w:szCs w:val="24"/>
        </w:rPr>
      </w:pPr>
      <w:r>
        <w:rPr>
          <w:sz w:val="22"/>
          <w:szCs w:val="24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numPr>
          <w:ilvl w:val="0"/>
          <w:numId w:val="1"/>
        </w:numPr>
        <w:ind w:left="-567" w:hanging="284"/>
        <w:jc w:val="both"/>
        <w:tabs>
          <w:tab w:val="clear" w:pos="360" w:leader="none"/>
        </w:tabs>
        <w:rPr>
          <w:sz w:val="22"/>
          <w:szCs w:val="24"/>
        </w:rPr>
      </w:pPr>
      <w:r>
        <w:rPr>
          <w:sz w:val="22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numPr>
          <w:ilvl w:val="0"/>
          <w:numId w:val="1"/>
        </w:numPr>
        <w:ind w:left="-567" w:hanging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Прет</w:t>
      </w:r>
      <w:r>
        <w:rPr>
          <w:sz w:val="22"/>
          <w:szCs w:val="24"/>
        </w:rPr>
        <w:t xml:space="preserve">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>
        <w:rPr>
          <w:color w:val="ff0000"/>
          <w:sz w:val="22"/>
          <w:szCs w:val="24"/>
        </w:rPr>
        <w:t xml:space="preserve"> </w:t>
      </w:r>
      <w:r>
        <w:rPr>
          <w:sz w:val="22"/>
          <w:szCs w:val="24"/>
        </w:rPr>
        <w:t xml:space="preserve">до</w:t>
      </w:r>
      <w:r>
        <w:rPr>
          <w:sz w:val="22"/>
          <w:szCs w:val="24"/>
        </w:rPr>
        <w:t xml:space="preserve">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numPr>
          <w:ilvl w:val="0"/>
          <w:numId w:val="1"/>
        </w:numPr>
        <w:ind w:left="-567" w:hanging="284"/>
        <w:jc w:val="both"/>
        <w:tabs>
          <w:tab w:val="clear" w:pos="360" w:leader="none"/>
        </w:tabs>
        <w:rPr>
          <w:sz w:val="22"/>
          <w:szCs w:val="24"/>
        </w:rPr>
      </w:pPr>
      <w:r>
        <w:rPr>
          <w:sz w:val="22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</w:t>
      </w:r>
      <w:r>
        <w:rPr>
          <w:sz w:val="22"/>
          <w:szCs w:val="24"/>
        </w:rPr>
        <w:t xml:space="preserve">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22"/>
          <w:szCs w:val="24"/>
        </w:rPr>
        <w:t xml:space="preserve">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tooltip="http://www.torgi.gov.ru" w:history="1">
        <w:r>
          <w:rPr>
            <w:sz w:val="22"/>
            <w:szCs w:val="24"/>
            <w:u w:val="single"/>
          </w:rPr>
          <w:t xml:space="preserve">www.torgi.gov.ru</w:t>
        </w:r>
      </w:hyperlink>
      <w:r>
        <w:rPr>
          <w:sz w:val="22"/>
          <w:szCs w:val="24"/>
        </w:rPr>
        <w:t xml:space="preserve"> и сайте </w:t>
      </w:r>
      <w:r>
        <w:rPr>
          <w:sz w:val="22"/>
          <w:szCs w:val="24"/>
          <w:u w:val="single"/>
        </w:rPr>
        <w:t xml:space="preserve">Оператора электронной площадки.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numPr>
          <w:ilvl w:val="0"/>
          <w:numId w:val="1"/>
        </w:numPr>
        <w:ind w:left="-567" w:hanging="284"/>
        <w:jc w:val="both"/>
        <w:tabs>
          <w:tab w:val="clear" w:pos="360" w:leader="none"/>
        </w:tabs>
        <w:rPr>
          <w:sz w:val="22"/>
          <w:szCs w:val="24"/>
        </w:rPr>
      </w:pPr>
      <w:r>
        <w:rPr>
          <w:sz w:val="22"/>
          <w:szCs w:val="24"/>
        </w:rPr>
        <w:t xml:space="preserve">Условия аукциона в электронной форме по данному имуществу с Участником аукц</w:t>
      </w:r>
      <w:r>
        <w:rPr>
          <w:sz w:val="22"/>
          <w:szCs w:val="24"/>
        </w:rPr>
        <w:t xml:space="preserve">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ind w:left="-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В соответствии с Федеральным законом от 27.07</w:t>
      </w:r>
      <w:r>
        <w:rPr>
          <w:sz w:val="22"/>
          <w:szCs w:val="24"/>
        </w:rPr>
        <w:t xml:space="preserve">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</w:t>
      </w:r>
      <w:r>
        <w:rPr>
          <w:sz w:val="22"/>
          <w:szCs w:val="24"/>
        </w:rPr>
        <w:t xml:space="preserve">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</w:t>
      </w:r>
      <w:r>
        <w:rPr>
          <w:sz w:val="22"/>
          <w:szCs w:val="24"/>
        </w:rPr>
        <w:t xml:space="preserve">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</w:t>
      </w:r>
      <w:r>
        <w:rPr>
          <w:sz w:val="22"/>
          <w:szCs w:val="24"/>
        </w:rPr>
        <w:t xml:space="preserve">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  ФИО                                     дата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bookmarkStart w:id="2" w:name="_GoBack"/>
      <w:r/>
      <w:bookmarkEnd w:id="2"/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70"/>
        <w:ind w:left="-426"/>
        <w:rPr>
          <w:sz w:val="16"/>
          <w:szCs w:val="16"/>
        </w:rPr>
      </w:pPr>
      <w:r>
        <w:rPr>
          <w:rStyle w:val="872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">
    <w:p>
      <w:pPr>
        <w:ind w:left="-426"/>
        <w:jc w:val="both"/>
        <w:rPr>
          <w:sz w:val="16"/>
          <w:szCs w:val="16"/>
        </w:rPr>
      </w:pPr>
      <w:r>
        <w:rPr>
          <w:rStyle w:val="872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 xml:space="preserve">ом, действующим по доверенности (для юридических лиц)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4">
    <w:p>
      <w:pPr>
        <w:pStyle w:val="870"/>
        <w:ind w:left="-426"/>
        <w:rPr>
          <w:sz w:val="18"/>
          <w:szCs w:val="18"/>
        </w:rPr>
      </w:pPr>
      <w:r>
        <w:rPr>
          <w:rStyle w:val="872"/>
          <w:sz w:val="16"/>
          <w:szCs w:val="16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57" w:firstLine="3"/>
        <w:tabs>
          <w:tab w:val="num" w:pos="35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7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7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7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7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7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6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6"/>
    <w:next w:val="866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7"/>
    <w:link w:val="710"/>
    <w:uiPriority w:val="10"/>
    <w:rPr>
      <w:sz w:val="48"/>
      <w:szCs w:val="48"/>
    </w:rPr>
  </w:style>
  <w:style w:type="paragraph" w:styleId="712">
    <w:name w:val="Subtitle"/>
    <w:basedOn w:val="866"/>
    <w:next w:val="866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7"/>
    <w:link w:val="712"/>
    <w:uiPriority w:val="11"/>
    <w:rPr>
      <w:sz w:val="24"/>
      <w:szCs w:val="24"/>
    </w:rPr>
  </w:style>
  <w:style w:type="paragraph" w:styleId="714">
    <w:name w:val="Quote"/>
    <w:basedOn w:val="866"/>
    <w:next w:val="866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6"/>
    <w:next w:val="866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6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7"/>
    <w:link w:val="718"/>
    <w:uiPriority w:val="99"/>
  </w:style>
  <w:style w:type="paragraph" w:styleId="720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7"/>
    <w:link w:val="720"/>
    <w:uiPriority w:val="99"/>
  </w:style>
  <w:style w:type="paragraph" w:styleId="722">
    <w:name w:val="Caption"/>
    <w:basedOn w:val="866"/>
    <w:next w:val="866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867"/>
    <w:link w:val="722"/>
    <w:uiPriority w:val="35"/>
    <w:rPr>
      <w:b/>
      <w:bCs/>
      <w:color w:val="4f81bd" w:themeColor="accent1"/>
      <w:sz w:val="18"/>
      <w:szCs w:val="18"/>
    </w:rPr>
  </w:style>
  <w:style w:type="table" w:styleId="724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character" w:styleId="851">
    <w:name w:val="Footnote Text Char"/>
    <w:link w:val="870"/>
    <w:uiPriority w:val="99"/>
    <w:rPr>
      <w:sz w:val="18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rPr>
      <w:rFonts w:eastAsia="Times New Roman"/>
      <w:sz w:val="20"/>
      <w:szCs w:val="20"/>
      <w:lang w:eastAsia="ru-RU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footnote text"/>
    <w:basedOn w:val="866"/>
    <w:link w:val="871"/>
  </w:style>
  <w:style w:type="character" w:styleId="871" w:customStyle="1">
    <w:name w:val="Текст сноски Знак"/>
    <w:basedOn w:val="867"/>
    <w:link w:val="870"/>
    <w:rPr>
      <w:rFonts w:eastAsia="Times New Roman"/>
      <w:sz w:val="20"/>
      <w:szCs w:val="20"/>
      <w:lang w:eastAsia="ru-RU"/>
    </w:rPr>
  </w:style>
  <w:style w:type="character" w:styleId="872">
    <w:name w:val="foot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torg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NACH-IMUCH</dc:creator>
  <cp:keywords/>
  <dc:description/>
  <cp:lastModifiedBy>suietka.imziem</cp:lastModifiedBy>
  <cp:revision>3</cp:revision>
  <dcterms:created xsi:type="dcterms:W3CDTF">2025-04-28T07:05:00Z</dcterms:created>
  <dcterms:modified xsi:type="dcterms:W3CDTF">2025-07-15T08:48:22Z</dcterms:modified>
</cp:coreProperties>
</file>