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jc w:val="center"/>
        <w:spacing w:after="240"/>
        <w:widowControl w:val="off"/>
        <w:rPr>
          <w:b/>
          <w:sz w:val="26"/>
        </w:rPr>
      </w:pPr>
      <w:r>
        <w:rPr>
          <w:b/>
          <w:sz w:val="26"/>
        </w:rPr>
        <w:t xml:space="preserve">Р</w:t>
      </w:r>
      <w:r>
        <w:rPr>
          <w:b/>
          <w:sz w:val="26"/>
        </w:rPr>
        <w:t xml:space="preserve">оссийская</w:t>
      </w:r>
      <w:r>
        <w:rPr>
          <w:b/>
          <w:sz w:val="26"/>
        </w:rPr>
        <w:t xml:space="preserve">  Ф</w:t>
      </w:r>
      <w:r>
        <w:rPr>
          <w:b/>
          <w:sz w:val="26"/>
        </w:rPr>
        <w:t xml:space="preserve">едерация</w:t>
      </w:r>
      <w:r>
        <w:rPr>
          <w:b/>
          <w:sz w:val="26"/>
        </w:rPr>
      </w:r>
      <w:r/>
    </w:p>
    <w:p>
      <w:pPr>
        <w:pStyle w:val="819"/>
        <w:jc w:val="center"/>
        <w:spacing w:before="0" w:after="360"/>
        <w:widowControl w:val="off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 СОБРАНИЕ ДЕПУТАТОВ МУНИЦИПАЛЬНОГО ОКРУГА </w:t>
        <w:br w:type="textWrapping" w:clear="all"/>
        <w:t xml:space="preserve">СУЕТСКИЙ РАЙОН АЛТАЙСКОГО КРАЯ</w:t>
      </w:r>
      <w:r/>
    </w:p>
    <w:p>
      <w:pPr>
        <w:pStyle w:val="830"/>
        <w:ind w:right="0"/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spacing w:val="40"/>
          <w:sz w:val="36"/>
          <w:szCs w:val="36"/>
        </w:rPr>
        <w:t xml:space="preserve">РЕШЕНИЕ</w:t>
      </w:r>
      <w:r/>
    </w:p>
    <w:p>
      <w:pPr>
        <w:pStyle w:val="830"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29 сентяб</w:t>
      </w:r>
      <w:r>
        <w:rPr>
          <w:sz w:val="28"/>
          <w:szCs w:val="28"/>
        </w:rPr>
        <w:t xml:space="preserve">ря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</w:t>
      </w:r>
      <w:r/>
    </w:p>
    <w:p>
      <w:pPr>
        <w:pStyle w:val="818"/>
        <w:ind w:firstLine="99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с. Верх-Суетка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/>
    </w:p>
    <w:p>
      <w:pPr>
        <w:pStyle w:val="820"/>
        <w:jc w:val="left"/>
        <w:keepNext w:val="0"/>
        <w:widowControl w:val="off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</w:tblGrid>
      <w:tr>
        <w:trPr>
          <w:trHeight w:val="652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/>
              <w:widowControl w:val="off"/>
              <w:tabs>
                <w:tab w:val="left" w:pos="4820" w:leader="none"/>
                <w:tab w:val="left" w:pos="9922" w:leader="none"/>
              </w:tabs>
              <w:rPr>
                <w:color w:val="000000"/>
              </w:rPr>
            </w:pP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 признании полномочий деп</w:t>
            </w: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тата  Со</w:t>
            </w:r>
            <w:r>
              <w:rPr>
                <w:szCs w:val="28"/>
              </w:rPr>
              <w:t xml:space="preserve">б</w:t>
            </w:r>
            <w:r>
              <w:rPr>
                <w:szCs w:val="28"/>
              </w:rPr>
              <w:t xml:space="preserve">рания депутатов муниципального округа Суетский район Алтайского края </w:t>
            </w:r>
            <w:r>
              <w:rPr>
                <w:color w:val="000000"/>
              </w:rPr>
            </w:r>
            <w:r/>
          </w:p>
        </w:tc>
      </w:tr>
    </w:tbl>
    <w:p>
      <w:pPr>
        <w:pStyle w:val="818"/>
        <w:jc w:val="both"/>
        <w:widowControl w:val="o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  <w:r/>
    </w:p>
    <w:p>
      <w:pPr>
        <w:pStyle w:val="818"/>
        <w:jc w:val="both"/>
        <w:widowControl w:val="o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  <w:r/>
    </w:p>
    <w:p>
      <w:pPr>
        <w:pStyle w:val="818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        </w:t>
      </w: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председателя Суетской районной территориальной избирательной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 муниципального округа Суетский район Алтайского края Богачевой С.А. об итогах выборов депутата Собрания депутатов муниципального округа  Суе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ский район Алтайского края </w:t>
      </w:r>
      <w:r>
        <w:rPr>
          <w:sz w:val="28"/>
          <w:szCs w:val="28"/>
        </w:rPr>
        <w:t xml:space="preserve"> по одномандатному избирательному округу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рук</w:t>
      </w:r>
      <w:r>
        <w:rPr>
          <w:sz w:val="28"/>
          <w:szCs w:val="28"/>
        </w:rPr>
        <w:t xml:space="preserve">оводствуясь стат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ёй 28 Устава муниципального образования муниципальный округ Суетский район Алтайского края, Собрание депутатов РЕШИЛО:</w:t>
      </w:r>
      <w:r/>
    </w:p>
    <w:p>
      <w:pPr>
        <w:pStyle w:val="81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полномочия депутата  Собрания деп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татов муниципального округа Суетский район Алтайского края, избранного по избирательному округу 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Харченко  </w:t>
      </w:r>
      <w:r>
        <w:rPr>
          <w:sz w:val="28"/>
          <w:szCs w:val="28"/>
        </w:rPr>
        <w:t xml:space="preserve">Елену  Николаевну</w:t>
      </w:r>
      <w:r>
        <w:rPr>
          <w:sz w:val="28"/>
          <w:szCs w:val="28"/>
        </w:rPr>
        <w:t xml:space="preserve">.</w:t>
      </w:r>
      <w:r/>
    </w:p>
    <w:p>
      <w:pPr>
        <w:pStyle w:val="8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Харченко Е</w:t>
      </w:r>
      <w:r>
        <w:rPr>
          <w:sz w:val="28"/>
          <w:szCs w:val="28"/>
        </w:rPr>
        <w:t xml:space="preserve">лену Николаевну </w:t>
      </w:r>
      <w:r>
        <w:rPr>
          <w:sz w:val="28"/>
          <w:szCs w:val="28"/>
        </w:rPr>
        <w:t xml:space="preserve">в состав постоянной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</w:t>
      </w:r>
      <w:r>
        <w:rPr>
          <w:sz w:val="28"/>
          <w:szCs w:val="28"/>
        </w:rPr>
        <w:t xml:space="preserve">по бюджету, налоговой и кредитной политике, земельным отношениям и природопользованию</w:t>
      </w:r>
      <w:r>
        <w:rPr>
          <w:sz w:val="28"/>
          <w:szCs w:val="28"/>
        </w:rPr>
        <w:t xml:space="preserve"> Собрания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путатов муниципального округа Суетский район Алтайского края.</w:t>
      </w:r>
      <w:r>
        <w:rPr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его принятия.</w:t>
      </w:r>
      <w:r/>
    </w:p>
    <w:p>
      <w:pPr>
        <w:pStyle w:val="8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«Сельский тр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женик».</w:t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</w:t>
      </w:r>
      <w:r>
        <w:rPr>
          <w:sz w:val="28"/>
          <w:szCs w:val="28"/>
        </w:rPr>
        <w:t xml:space="preserve">П. Ре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пель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sz w:val="24"/>
      <w:szCs w:val="24"/>
      <w:lang w:val="ru-RU" w:eastAsia="ru-RU" w:bidi="ar-SA"/>
    </w:rPr>
  </w:style>
  <w:style w:type="paragraph" w:styleId="819">
    <w:name w:val="Заголовок 5"/>
    <w:basedOn w:val="818"/>
    <w:next w:val="818"/>
    <w:link w:val="824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20">
    <w:name w:val="Заголовок 6"/>
    <w:basedOn w:val="818"/>
    <w:next w:val="818"/>
    <w:link w:val="825"/>
    <w:semiHidden/>
    <w:unhideWhenUsed/>
    <w:qFormat/>
    <w:pPr>
      <w:ind w:firstLine="720"/>
      <w:jc w:val="right"/>
      <w:keepNext/>
      <w:outlineLvl w:val="5"/>
    </w:pPr>
    <w:rPr>
      <w:sz w:val="28"/>
      <w:szCs w:val="20"/>
    </w:rPr>
  </w:style>
  <w:style w:type="character" w:styleId="821">
    <w:name w:val="Основной шрифт абзаца"/>
    <w:next w:val="821"/>
    <w:link w:val="818"/>
    <w:semiHidden/>
  </w:style>
  <w:style w:type="table" w:styleId="822">
    <w:name w:val="Обычная таблица"/>
    <w:next w:val="822"/>
    <w:link w:val="818"/>
    <w:semiHidden/>
    <w:tblPr/>
  </w:style>
  <w:style w:type="numbering" w:styleId="823">
    <w:name w:val="Нет списка"/>
    <w:next w:val="823"/>
    <w:link w:val="818"/>
    <w:semiHidden/>
  </w:style>
  <w:style w:type="character" w:styleId="824">
    <w:name w:val="Заголовок 5 Знак"/>
    <w:basedOn w:val="821"/>
    <w:next w:val="824"/>
    <w:link w:val="819"/>
    <w:semiHidden/>
    <w:rPr>
      <w:rFonts w:ascii="Calibri" w:hAnsi="Calibri"/>
      <w:b/>
      <w:bCs/>
      <w:i/>
      <w:iCs/>
      <w:sz w:val="26"/>
      <w:szCs w:val="26"/>
    </w:rPr>
  </w:style>
  <w:style w:type="character" w:styleId="825">
    <w:name w:val="Заголовок 6 Знак"/>
    <w:basedOn w:val="821"/>
    <w:next w:val="825"/>
    <w:link w:val="820"/>
    <w:semiHidden/>
    <w:rPr>
      <w:sz w:val="28"/>
    </w:rPr>
  </w:style>
  <w:style w:type="paragraph" w:styleId="826">
    <w:name w:val="Верхний колонтитул"/>
    <w:basedOn w:val="818"/>
    <w:next w:val="826"/>
    <w:link w:val="832"/>
    <w:unhideWhenUsed/>
    <w:pPr>
      <w:tabs>
        <w:tab w:val="center" w:pos="4677" w:leader="none"/>
        <w:tab w:val="right" w:pos="9355" w:leader="none"/>
      </w:tabs>
    </w:pPr>
  </w:style>
  <w:style w:type="character" w:styleId="827">
    <w:name w:val="Верхний колонтитул Знак"/>
    <w:basedOn w:val="821"/>
    <w:next w:val="827"/>
    <w:link w:val="826"/>
    <w:rPr>
      <w:sz w:val="24"/>
      <w:szCs w:val="24"/>
    </w:rPr>
  </w:style>
  <w:style w:type="paragraph" w:styleId="828">
    <w:name w:val="Основной текст"/>
    <w:basedOn w:val="818"/>
    <w:next w:val="828"/>
    <w:link w:val="833"/>
    <w:unhideWhenUsed/>
    <w:pPr>
      <w:spacing w:after="120"/>
    </w:pPr>
    <w:rPr>
      <w:sz w:val="28"/>
      <w:szCs w:val="20"/>
    </w:rPr>
  </w:style>
  <w:style w:type="character" w:styleId="829">
    <w:name w:val="Основной текст Знак"/>
    <w:basedOn w:val="821"/>
    <w:next w:val="829"/>
    <w:link w:val="828"/>
    <w:rPr>
      <w:sz w:val="24"/>
      <w:szCs w:val="24"/>
    </w:rPr>
  </w:style>
  <w:style w:type="paragraph" w:styleId="830">
    <w:name w:val="ConsNonformat"/>
    <w:next w:val="830"/>
    <w:link w:val="81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831">
    <w:name w:val="Heading"/>
    <w:next w:val="831"/>
    <w:link w:val="818"/>
    <w:rPr>
      <w:rFonts w:ascii="Arial" w:hAnsi="Arial"/>
      <w:b/>
      <w:sz w:val="22"/>
      <w:lang w:val="ru-RU" w:eastAsia="ru-RU" w:bidi="ar-SA"/>
    </w:rPr>
  </w:style>
  <w:style w:type="character" w:styleId="832">
    <w:name w:val="Верхний колонтитул Знак1"/>
    <w:basedOn w:val="821"/>
    <w:next w:val="832"/>
    <w:link w:val="826"/>
    <w:rPr>
      <w:sz w:val="24"/>
      <w:szCs w:val="24"/>
    </w:rPr>
  </w:style>
  <w:style w:type="character" w:styleId="833">
    <w:name w:val="Основной текст Знак1"/>
    <w:basedOn w:val="821"/>
    <w:next w:val="833"/>
    <w:link w:val="828"/>
    <w:rPr>
      <w:sz w:val="28"/>
    </w:rPr>
  </w:style>
  <w:style w:type="paragraph" w:styleId="834">
    <w:name w:val="Без интервала"/>
    <w:next w:val="834"/>
    <w:link w:val="818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835" w:default="1">
    <w:name w:val="Default Paragraph Font"/>
    <w:uiPriority w:val="1"/>
    <w:semiHidden/>
    <w:unhideWhenUsed/>
  </w:style>
  <w:style w:type="numbering" w:styleId="836" w:default="1">
    <w:name w:val="No List"/>
    <w:uiPriority w:val="99"/>
    <w:semiHidden/>
    <w:unhideWhenUsed/>
  </w:style>
  <w:style w:type="table" w:styleId="8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school3</dc:creator>
  <cp:revision>59</cp:revision>
  <dcterms:created xsi:type="dcterms:W3CDTF">2012-07-11T04:25:00Z</dcterms:created>
  <dcterms:modified xsi:type="dcterms:W3CDTF">2023-09-28T08:27:52Z</dcterms:modified>
  <cp:version>786432</cp:version>
</cp:coreProperties>
</file>