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BC" w:rsidRDefault="0003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УТВЕРЖДЕНА</w:t>
      </w:r>
    </w:p>
    <w:p w:rsidR="007E01BC" w:rsidRDefault="00032341">
      <w:pPr>
        <w:tabs>
          <w:tab w:val="left" w:pos="921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  </w:t>
      </w:r>
    </w:p>
    <w:p w:rsidR="007E01BC" w:rsidRDefault="00032341">
      <w:pPr>
        <w:tabs>
          <w:tab w:val="left" w:pos="921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E01BC" w:rsidRDefault="00032341">
      <w:pPr>
        <w:tabs>
          <w:tab w:val="left" w:pos="921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52</w:t>
      </w:r>
    </w:p>
    <w:p w:rsidR="007E01BC" w:rsidRDefault="007E01BC">
      <w:pPr>
        <w:tabs>
          <w:tab w:val="left" w:pos="921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СУЕТСКОГО РАЙОНА</w:t>
      </w:r>
    </w:p>
    <w:p w:rsidR="007E01BC" w:rsidRDefault="0003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и развитие малого и среднего предпринимательства </w:t>
      </w:r>
    </w:p>
    <w:p w:rsidR="007E01BC" w:rsidRDefault="0003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2021 – 2025 годы</w:t>
      </w: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7E01BC" w:rsidRDefault="0003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«Поддержка и развитие малого и среднего предпринимательства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E01BC" w:rsidRDefault="0003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 – 2025 годы</w:t>
      </w: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072"/>
        <w:gridCol w:w="6392"/>
      </w:tblGrid>
      <w:tr w:rsidR="007E01BC">
        <w:tc>
          <w:tcPr>
            <w:tcW w:w="3072" w:type="dxa"/>
          </w:tcPr>
          <w:p w:rsidR="007E01BC" w:rsidRDefault="00032341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392" w:type="dxa"/>
          </w:tcPr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экономике администрации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Алтайского края</w:t>
            </w:r>
          </w:p>
        </w:tc>
      </w:tr>
      <w:tr w:rsidR="007E01BC">
        <w:tc>
          <w:tcPr>
            <w:tcW w:w="3072" w:type="dxa"/>
          </w:tcPr>
          <w:p w:rsidR="007E01BC" w:rsidRDefault="00032341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6392" w:type="dxa"/>
          </w:tcPr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экономике администрации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Алтайского края;</w:t>
            </w:r>
          </w:p>
          <w:p w:rsidR="007E01BC" w:rsidRDefault="00032341">
            <w:pPr>
              <w:spacing w:after="0" w:line="240" w:lineRule="auto"/>
              <w:ind w:left="4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финансам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Алтайского края;</w:t>
            </w:r>
          </w:p>
          <w:p w:rsidR="007E01BC" w:rsidRDefault="00032341">
            <w:pPr>
              <w:spacing w:after="0" w:line="240" w:lineRule="auto"/>
              <w:ind w:left="4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совет предпринимателей при Главе муниципального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 Алтайского края.</w:t>
            </w:r>
          </w:p>
        </w:tc>
      </w:tr>
      <w:tr w:rsidR="007E01BC">
        <w:tc>
          <w:tcPr>
            <w:tcW w:w="3072" w:type="dxa"/>
          </w:tcPr>
          <w:p w:rsidR="007E01BC" w:rsidRDefault="00032341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032341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2" w:type="dxa"/>
          </w:tcPr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Создание благоприятных условий для устойч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ивого функционирования и развития малого и среднего предпринимательства, повышение образовательного уровня и правовой культуры предпринимателей на территории округа.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и развитие благоприятных условий для развития малого и среднего предприниматель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на территории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использование эффективных инструментов финансовой поддержки, ориентированных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малого и среднего предпринимательства (далее – «СМСП»),  реализующих инвестиционные и социальные проекты;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конкурентоспособности СМСП производственной сферы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01BC" w:rsidRDefault="00032341">
            <w:pPr>
              <w:tabs>
                <w:tab w:val="left" w:pos="2031"/>
              </w:tabs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взаимодействия органов власти муниципального округа с СМСП и пропаганда предпринимательской деятельности в округе.</w:t>
            </w:r>
          </w:p>
        </w:tc>
        <w:bookmarkStart w:id="0" w:name="_GoBack"/>
        <w:bookmarkEnd w:id="0"/>
      </w:tr>
      <w:tr w:rsidR="007E01BC">
        <w:tc>
          <w:tcPr>
            <w:tcW w:w="3072" w:type="dxa"/>
          </w:tcPr>
          <w:p w:rsidR="007E01BC" w:rsidRDefault="00032341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и показатели программы</w:t>
            </w: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01BC" w:rsidRDefault="00032341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392" w:type="dxa"/>
          </w:tcPr>
          <w:p w:rsidR="007E01BC" w:rsidRDefault="00032341">
            <w:pPr>
              <w:spacing w:after="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СМСП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7E01BC" w:rsidRDefault="00032341">
            <w:pPr>
              <w:spacing w:after="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СМСП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малом и среднем бизнесе в общей численности занятых в эконом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ике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СМСП,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информационно-консультационного центра поддержки предпринимательства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основам ведения бизнеса, финансовой грамотности и 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навыкам предпринимательской деятельности (нарастающим итогом).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 годы.</w:t>
            </w:r>
          </w:p>
          <w:p w:rsidR="007E01BC" w:rsidRDefault="007E01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7E01BC">
        <w:trPr>
          <w:trHeight w:val="850"/>
        </w:trPr>
        <w:tc>
          <w:tcPr>
            <w:tcW w:w="3072" w:type="dxa"/>
          </w:tcPr>
          <w:p w:rsidR="007E01BC" w:rsidRDefault="00032341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финансирования программы (прогноз – суммы могут быть уточнены при принятии бюджета на очередной финансовый год и плановый период)</w:t>
            </w: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7E01BC" w:rsidRDefault="007E01BC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392" w:type="dxa"/>
          </w:tcPr>
          <w:p w:rsidR="007E01BC" w:rsidRDefault="00032341">
            <w:pPr>
              <w:spacing w:after="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составляет 193 тыс. рублей, в том числе:</w:t>
            </w:r>
          </w:p>
          <w:p w:rsidR="007E01BC" w:rsidRDefault="00032341">
            <w:pPr>
              <w:spacing w:after="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районного бюджета – 193 тыс. рублей, из них:</w:t>
            </w:r>
          </w:p>
          <w:p w:rsidR="007E01BC" w:rsidRDefault="000323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 – 8 тыс. рублей;</w:t>
            </w:r>
          </w:p>
          <w:p w:rsidR="007E01BC" w:rsidRDefault="0003234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10 тыс. рублей;</w:t>
            </w:r>
          </w:p>
          <w:p w:rsidR="007E01BC" w:rsidRDefault="000323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2023 году –  125 тыс. рублей;</w:t>
            </w:r>
          </w:p>
          <w:p w:rsidR="007E01BC" w:rsidRDefault="00032341">
            <w:pPr>
              <w:tabs>
                <w:tab w:val="left" w:pos="2457"/>
              </w:tabs>
              <w:spacing w:after="0" w:line="240" w:lineRule="auto"/>
              <w:ind w:left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 2024 году – 25 тыс. рублей;</w:t>
            </w:r>
          </w:p>
          <w:p w:rsidR="007E01BC" w:rsidRDefault="000323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 2025 году –  25 тыс. рублей.</w:t>
            </w:r>
          </w:p>
        </w:tc>
      </w:tr>
      <w:tr w:rsidR="007E01BC">
        <w:tc>
          <w:tcPr>
            <w:tcW w:w="3072" w:type="dxa"/>
          </w:tcPr>
          <w:p w:rsidR="007E01BC" w:rsidRDefault="00032341">
            <w:pPr>
              <w:tabs>
                <w:tab w:val="left" w:pos="2772"/>
              </w:tabs>
              <w:spacing w:after="0" w:line="240" w:lineRule="auto"/>
              <w:ind w:right="-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  результаты реализации программы </w:t>
            </w:r>
          </w:p>
        </w:tc>
        <w:tc>
          <w:tcPr>
            <w:tcW w:w="6392" w:type="dxa"/>
          </w:tcPr>
          <w:p w:rsidR="007E01BC" w:rsidRDefault="00032341">
            <w:pPr>
              <w:spacing w:after="0" w:line="240" w:lineRule="auto"/>
              <w:ind w:left="432" w:hanging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2025 года:</w:t>
            </w:r>
          </w:p>
          <w:p w:rsidR="007E01BC" w:rsidRDefault="00032341">
            <w:pPr>
              <w:spacing w:after="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зарегистрированных СМСП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составит 55 единиц;</w:t>
            </w:r>
          </w:p>
          <w:p w:rsidR="007E01BC" w:rsidRDefault="00032341">
            <w:pPr>
              <w:spacing w:after="0" w:line="240" w:lineRule="auto"/>
              <w:ind w:lef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занятых в сфере малого и среднего предпринимательства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составит 545 единиц;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малом и среднем бизнесе в общей численности занятых в экономике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 25,4%; 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СМСП,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информационно-консультационного центра поддержки предпринимательства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составит 100%;</w:t>
            </w:r>
          </w:p>
          <w:p w:rsidR="007E01BC" w:rsidRDefault="00032341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обученных основам ведения бизнеса, финансовой грамотности и иным навыкам предприн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имательской деятельности (нарастающим итогом) составит 25 единиц.</w:t>
            </w:r>
          </w:p>
        </w:tc>
      </w:tr>
    </w:tbl>
    <w:p w:rsidR="007E01BC" w:rsidRDefault="00032341">
      <w:pPr>
        <w:pStyle w:val="afff2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Общая характеристика сферы реализации муниципальной программы</w:t>
      </w: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правовой базой для разработки программы является  Федеральный закон от 24.07.2007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Федерации», постановление Правительства Алтайского края от 02.03.2020 № 90 «Об утверждении государственной программы Алтайского края «Развитие малого и среднего предпринимательства в Алт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айском крае» на 2020-2024 годы, постановление администрации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07.02.2023 года № 34 «Об утверждении порядка разработки, реализации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оценки эффективности муниципальных программ».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определяет 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направленных на достижение целей социально-экономической политики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области развития предпринимательства.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последнее десятилетие малое предпринимательство стало неотъемлемой частью экономики района. Наиб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многочисленная категория индивидуальных предпринимателей занята торговлей. Территориальная структура предпринимательства в районе характеризуется явным преобладанием его в райцентре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-Суетка. Вместе с тем у населения сельских территорий и в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в целом остро стоит вопрос нехватки оказываемых им бытовых услуг (парикмахерских, пошив одежды, ремонт обуви, техническое обслуживание автотранспорта и т.д.).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реализовывались мероприятия, направленные на создание благоприятных условий для интенсивного развития малого предпринимательства: функционирует ИКЦ поддержки предпринимателей, работает Общественный совет предпринимателей при главе Администрации района,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ботает муниципальная программа поддержки и развития малого и среднего предпринимательства, совместно с Центром занятости населения проводится работа по вовлечению населения в предпринимательскую деятельность.</w:t>
      </w:r>
      <w:proofErr w:type="gramEnd"/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развития предпринимательств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является государственная поддержка.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2020 года основными видами поддержки в Алтайском крае являются: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Алтайский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(займы до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сроком до 24 мес.);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Поручительства Центра предоставления гарантий, НО Алтайский фонд МСП (во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зможность привлечения необходимого объёма заёмного финансирования при отсутствии собственного достаточного);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Гранты на реализацию проектов в приоритетных сферах экономики (Управление Алтайского края по развитию предпринимательства и рыночной инфраструкту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ры).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является продолжением комплекса мероприятий, осуществленных в 2015-2020 годы в рамках муниципальной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утверждённой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324 от 30.12.2014 года.</w:t>
      </w:r>
    </w:p>
    <w:p w:rsidR="007E01BC" w:rsidRDefault="007E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настоящей программе используются следующие сокращения:</w:t>
      </w: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796"/>
      </w:tblGrid>
      <w:tr w:rsidR="007E01BC">
        <w:tc>
          <w:tcPr>
            <w:tcW w:w="1668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СМСП</w:t>
            </w:r>
          </w:p>
        </w:tc>
        <w:tc>
          <w:tcPr>
            <w:tcW w:w="7796" w:type="dxa"/>
          </w:tcPr>
          <w:p w:rsidR="007E01BC" w:rsidRDefault="0003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предпринимательства;</w:t>
            </w:r>
          </w:p>
        </w:tc>
      </w:tr>
      <w:tr w:rsidR="007E01BC">
        <w:tc>
          <w:tcPr>
            <w:tcW w:w="1668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СМП</w:t>
            </w:r>
          </w:p>
        </w:tc>
        <w:tc>
          <w:tcPr>
            <w:tcW w:w="7796" w:type="dxa"/>
          </w:tcPr>
          <w:p w:rsidR="007E01BC" w:rsidRDefault="0003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малого предпринимательства;</w:t>
            </w:r>
          </w:p>
        </w:tc>
      </w:tr>
      <w:tr w:rsidR="007E01BC">
        <w:tc>
          <w:tcPr>
            <w:tcW w:w="1668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</w:t>
            </w:r>
          </w:p>
        </w:tc>
        <w:tc>
          <w:tcPr>
            <w:tcW w:w="7796" w:type="dxa"/>
          </w:tcPr>
          <w:p w:rsidR="007E01BC" w:rsidRDefault="0003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Общественный совет по развитию предпринимательства при главе Администрации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район;</w:t>
            </w:r>
          </w:p>
        </w:tc>
      </w:tr>
      <w:tr w:rsidR="007E01BC">
        <w:tc>
          <w:tcPr>
            <w:tcW w:w="1668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</w:t>
            </w:r>
          </w:p>
        </w:tc>
        <w:tc>
          <w:tcPr>
            <w:tcW w:w="7796" w:type="dxa"/>
          </w:tcPr>
          <w:p w:rsidR="007E01BC" w:rsidRDefault="0003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самоуправления;</w:t>
            </w:r>
          </w:p>
        </w:tc>
      </w:tr>
      <w:tr w:rsidR="007E01BC">
        <w:tc>
          <w:tcPr>
            <w:tcW w:w="1668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ИКЦ</w:t>
            </w:r>
          </w:p>
        </w:tc>
        <w:tc>
          <w:tcPr>
            <w:tcW w:w="7796" w:type="dxa"/>
          </w:tcPr>
          <w:p w:rsidR="007E01BC" w:rsidRDefault="0003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информационно-консультационный центр поддержки предпринимательства в муниципальном в муниципальном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proofErr w:type="gramEnd"/>
          </w:p>
        </w:tc>
      </w:tr>
      <w:tr w:rsidR="007E01BC">
        <w:tc>
          <w:tcPr>
            <w:tcW w:w="1668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АГФ</w:t>
            </w:r>
          </w:p>
        </w:tc>
        <w:tc>
          <w:tcPr>
            <w:tcW w:w="7796" w:type="dxa"/>
          </w:tcPr>
          <w:p w:rsidR="007E01BC" w:rsidRDefault="0003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«Алтайский гарантийный фонд»;</w:t>
            </w:r>
          </w:p>
        </w:tc>
      </w:tr>
      <w:tr w:rsidR="007E01BC">
        <w:tc>
          <w:tcPr>
            <w:tcW w:w="1668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АФМ</w:t>
            </w:r>
          </w:p>
        </w:tc>
        <w:tc>
          <w:tcPr>
            <w:tcW w:w="7796" w:type="dxa"/>
          </w:tcPr>
          <w:p w:rsidR="007E01BC" w:rsidRDefault="0003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некоммерческая организация «Алтайский фонд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7E01BC">
        <w:trPr>
          <w:trHeight w:val="421"/>
        </w:trPr>
        <w:tc>
          <w:tcPr>
            <w:tcW w:w="1668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7796" w:type="dxa"/>
          </w:tcPr>
          <w:p w:rsidR="007E01BC" w:rsidRDefault="00032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бюджет.</w:t>
            </w:r>
          </w:p>
        </w:tc>
      </w:tr>
    </w:tbl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pStyle w:val="afff2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текущего состояния сферы развития малого и среднего предпринимательства, 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арактеристика проблемы и обоснование необходимости ее решения программными методами</w:t>
      </w:r>
    </w:p>
    <w:p w:rsidR="007E01BC" w:rsidRDefault="007E01BC">
      <w:pPr>
        <w:spacing w:after="0" w:line="240" w:lineRule="auto"/>
        <w:ind w:firstLine="720"/>
        <w:jc w:val="both"/>
      </w:pPr>
    </w:p>
    <w:p w:rsidR="007E01BC" w:rsidRDefault="0003234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Малое и среднее предпринимательство, ставшее за последние годы неотъемлемой частью экономики района, приобретает с каждым годом особое место в 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Программный подход позволяет проводить планомерную работу по созданию благоприятного предпринимательского климата, развивать систему государственной поддержки малого  и среднего предпринимательства, повышать эффективность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этого сектора экономики.  На начало 2020 года число субъектов малого и среднего предпринимательства составило 51 единиц, из них 4 малых предприятий,  43 индивидуальных предпринимателя и 4 крестьянско-фермерских хозяйств. За период с 2015-2019 гг. число СМС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 сократилось на 40%. Основной причиной сокращения количества субъектов является значительное увеличение для субъектов налогов и фиксированных платежей страховых взносов. </w:t>
      </w:r>
    </w:p>
    <w:p w:rsidR="007E01BC" w:rsidRDefault="00032341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видами деятельности «малого» сектора экономики района является: производст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сельскохозяйственной продукции, розничная торговля, общественное питание, оказание платных услуг. </w:t>
      </w:r>
    </w:p>
    <w:p w:rsidR="007E01BC" w:rsidRDefault="00032341">
      <w:pPr>
        <w:pStyle w:val="aff4"/>
        <w:spacing w:before="0" w:beforeAutospacing="0" w:after="0" w:afterAutospacing="0" w:line="276" w:lineRule="auto"/>
        <w:ind w:firstLine="4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малого бизнеса трудится 535 человек. </w:t>
      </w:r>
      <w:proofErr w:type="gramStart"/>
      <w:r>
        <w:rPr>
          <w:sz w:val="28"/>
          <w:szCs w:val="28"/>
        </w:rPr>
        <w:t xml:space="preserve">Удельный вес занятых в малом бизнесе в общей численности занятых в экономике составил 24,7%. В администрации </w:t>
      </w:r>
      <w:r>
        <w:rPr>
          <w:sz w:val="28"/>
          <w:szCs w:val="28"/>
        </w:rPr>
        <w:t>работает информационно-консультационный центр (ИКЦ) куда обращаются предприниматели, граждане по открытию личного бизнеса, оказанию помощи в составлении бизнес-планов, по бухгалтерскому учету и налогам, правовым вопросам, управлению персонала, по видам и ф</w:t>
      </w:r>
      <w:r>
        <w:rPr>
          <w:sz w:val="28"/>
          <w:szCs w:val="28"/>
        </w:rPr>
        <w:t xml:space="preserve">ормам государственной поддержки, транспорту и связи и другим проблемным </w:t>
      </w:r>
      <w:r>
        <w:rPr>
          <w:sz w:val="28"/>
          <w:szCs w:val="28"/>
        </w:rPr>
        <w:lastRenderedPageBreak/>
        <w:t>вопросам по предпринимательству.</w:t>
      </w:r>
      <w:proofErr w:type="gramEnd"/>
      <w:r>
        <w:rPr>
          <w:sz w:val="28"/>
          <w:szCs w:val="28"/>
        </w:rPr>
        <w:t xml:space="preserve"> При ИКЦ рассматриваются совместно с общественным Советом предпринимателей вопросы по соблюдению трудового законодательства по отношению к наемным работ</w:t>
      </w:r>
      <w:r>
        <w:rPr>
          <w:sz w:val="28"/>
          <w:szCs w:val="28"/>
        </w:rPr>
        <w:t xml:space="preserve">никам, своевременные отчисления во внебюджетные фонды, благоустройство территорий торговых точек, повышение уровня заработной платы и многое другое. </w:t>
      </w:r>
    </w:p>
    <w:p w:rsidR="007E01BC" w:rsidRDefault="0003234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округа работают 42 торговых объекта с торговой площадью 2001 м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Фирменный магазин один – ИП</w:t>
      </w:r>
      <w:r>
        <w:rPr>
          <w:rFonts w:ascii="Times New Roman" w:hAnsi="Times New Roman" w:cs="Times New Roman"/>
          <w:sz w:val="28"/>
          <w:szCs w:val="28"/>
        </w:rPr>
        <w:t xml:space="preserve"> Томилова Н.Н. производство хлеба и хлебобулочных изделий. Развита торговая розничная сеть индивидуальных предпринимателей, в собственности которых,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два и более магазинов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Замараева Ирина Давидовна,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Владимировна.</w:t>
      </w:r>
    </w:p>
    <w:p w:rsidR="007E01BC" w:rsidRDefault="00032341">
      <w:pPr>
        <w:tabs>
          <w:tab w:val="left" w:pos="5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округа раб</w:t>
      </w:r>
      <w:r>
        <w:rPr>
          <w:rFonts w:ascii="Times New Roman" w:hAnsi="Times New Roman" w:cs="Times New Roman"/>
          <w:sz w:val="28"/>
          <w:szCs w:val="28"/>
        </w:rPr>
        <w:t>отает одно  предприятие общественного питания: кафе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Гурман».</w:t>
      </w:r>
    </w:p>
    <w:p w:rsidR="007E01BC" w:rsidRDefault="00032341">
      <w:pPr>
        <w:tabs>
          <w:tab w:val="left" w:pos="5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Из 14 населенных пунктов торговые площади функционируют в 9 населенных пунктах (отсутствуют магазины в малонаселенных селах в п. Николаевка, п. Добровольский,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Циберман</w:t>
      </w:r>
      <w:r>
        <w:rPr>
          <w:rFonts w:ascii="Times New Roman" w:hAnsi="Times New Roman" w:cs="Times New Roman"/>
          <w:sz w:val="28"/>
          <w:szCs w:val="28"/>
        </w:rPr>
        <w:t>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п.им.Вл</w:t>
      </w:r>
      <w:proofErr w:type="spellEnd"/>
      <w:r>
        <w:rPr>
          <w:rFonts w:ascii="Times New Roman" w:hAnsi="Times New Roman" w:cs="Times New Roman"/>
          <w:sz w:val="28"/>
          <w:szCs w:val="28"/>
        </w:rPr>
        <w:t>-Ильича).</w:t>
      </w:r>
    </w:p>
    <w:p w:rsidR="007E01BC" w:rsidRDefault="0003234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 обороту    розничной торговли  на душу населения в рейтинге территорий Алтайского края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37 позиция; по обороту общественного питания 4 позиция из 59 сельских территорий.</w:t>
      </w:r>
    </w:p>
    <w:p w:rsidR="007E01BC" w:rsidRDefault="00032341">
      <w:pPr>
        <w:pStyle w:val="aff4"/>
        <w:spacing w:before="0" w:beforeAutospacing="0" w:after="0" w:afterAutospacing="0" w:line="276" w:lineRule="auto"/>
        <w:ind w:firstLine="4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Платных услуг населению оказано на 13,3</w:t>
      </w:r>
      <w:r>
        <w:rPr>
          <w:sz w:val="28"/>
          <w:szCs w:val="28"/>
        </w:rPr>
        <w:t xml:space="preserve"> млн. руб.– темп роста 97,8% к уровню 2019 года. Оборот общественного питания 2,5 млн. руб.- темп роста 90,8 к уровню 2019 года.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уровень развития в районе малого и среднего бизнеса, осуществляющего деятельность в материальном производстве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ругих неторговых отраслях, недостаточен. Низкий уровень рентабельности становится сдерживающим фактором для ведения расширенного воспроизводства. Существует проблема дефицита собственных средств, необходимых для развития бизнеса. Возникает потребность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 заемных и иных источников финансирования.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проблемами, которые препятствуют переходу предпринимательства района на более качественный уровень развития, являются:</w:t>
      </w:r>
    </w:p>
    <w:p w:rsidR="007E01BC" w:rsidRDefault="00032341">
      <w:pPr>
        <w:tabs>
          <w:tab w:val="left" w:pos="1056"/>
        </w:tabs>
        <w:spacing w:before="1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Дефицит персонала требуемой квалификации на рынке труда. Недостаточные 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ыки эффективного ведения бизнеса, опыта управления, юридических и экономических знаний у руководителей малых и средних предприятий. </w:t>
      </w:r>
    </w:p>
    <w:p w:rsidR="007E01BC" w:rsidRDefault="00032341">
      <w:pPr>
        <w:tabs>
          <w:tab w:val="left" w:pos="10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Сложность в привлечении финансовых (инвестиционных) ресурсов для ведения предпринимательской деятельности, как на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банковских кредитов и требований по их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ченности препятствует широкому доступу к ним субъектов малого и среднего предпринимательства. </w:t>
      </w:r>
    </w:p>
    <w:p w:rsidR="007E01BC" w:rsidRDefault="00032341">
      <w:pPr>
        <w:tabs>
          <w:tab w:val="left" w:pos="12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Низкие темпы модернизации действующих производств и внедрения новых технологий. Необходимость привлечения, в силу отсутствия собственных, заемных источников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инансирования делает приобретение производственного оборудования, прежде всего сложного высокотехнологического оборудования и приборов, малодоступным для малого и среднего предпринимательства.</w:t>
      </w:r>
    </w:p>
    <w:p w:rsidR="007E01BC" w:rsidRDefault="00032341">
      <w:pPr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Недостаточная конкурентоспособность продукции малых предприя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в условиях растущего давления со стороны импортных товаров и продукции крупных отечественных предприятий, и, как следствие, слабое продвижение ее на внутренний, межрегиональный рынки. </w:t>
      </w:r>
    </w:p>
    <w:p w:rsidR="007E01BC" w:rsidRDefault="00032341">
      <w:pPr>
        <w:tabs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Сокращение количества СМСП.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Низкий темп роста заработной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работников малых предприятий.</w:t>
      </w:r>
    </w:p>
    <w:p w:rsidR="007E01BC" w:rsidRDefault="00032341">
      <w:pPr>
        <w:tabs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отраслевой структуре доминирует непроизводственная сфера деятельности  - розничная торговля. Необходимо расширение присутствия малого бизнеса во всех отраслях экономики района.</w:t>
      </w:r>
    </w:p>
    <w:p w:rsidR="007E01BC" w:rsidRDefault="00032341">
      <w:pPr>
        <w:tabs>
          <w:tab w:val="left" w:pos="13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Недостаточное развитие предпринимательства в сельских поселениях района.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проблемы в значительной мере взаимосвязаны и обуславливают друг друга. Поэтому необходим комплексный подход к их решению на муниципальном уровне.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Необходимо обеспечить механизмы, при которых поддержка малого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становится инструментом районной политики, выравнивающим существующие различия в условиях функционирования малого бизнеса, имеющиеся в муниципальных поселениях вследствие географического положения, отраслевых особенностей.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сформирована база системной государственной поддержки малого и среднего бизнеса. На территории округа представлены её элементы разной направленности - финансовые, информационные и другие. Основным методом поддержки стал программно-целевой подход.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иболее востребованными в последние годы инструментами финансовой помощи являются микро кредиты АФМ.</w:t>
      </w:r>
    </w:p>
    <w:p w:rsidR="007E01BC" w:rsidRDefault="00032341">
      <w:pPr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завершилась реализация муниципальной программы «Поддержка и развитие малого и среднего предпринимательства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2015-2020 годы, в рамках которой проводилась планомерная работа по созданию благоприятного предпринимательского климата, развитию инфраструктуры государственной поддержки малого и среднего бизнеса, повышению эффективности этого сектора экономики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период 2015-2020 гг. за счет средств районного бюджета в сумме 34,4 тыс. руб. обеспечивалась деятельность информационно-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консультационного центра поддержки предпринимательства. Ежегодно в центр обращается примерно 100  человек с различными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касающимися предпринимательства, оказывается свыше 100 различного рода услуг (информационных, консультационных), проводятся различной тематики мероприятия. 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обозначенных, по тексту проблем, требует совершенствования существующих механизмов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держки малых предприятий. 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стимулирования малого и среднего предпринимательства в районе, становления его как высокотехнологичного, социально ориентированного и конкурентоспособного сектора экономики района необходима дальнейшая реализация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направленных на оказание субъектам малого и среднего бизнеса государственной поддержки.</w:t>
      </w:r>
    </w:p>
    <w:p w:rsidR="007E01BC" w:rsidRDefault="007E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pStyle w:val="afff2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Приоритеты государственной политики, цели и задачи, основные ожидаемые конечные результаты в сфере реализации муниципальной программы, сроки ее реализации.</w:t>
      </w:r>
    </w:p>
    <w:p w:rsidR="007E01BC" w:rsidRDefault="007E0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При этом необходимо использовать механизмы, при которых поддержка малого предпринима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 становится инструментом региональной политики, выравнивающим существующие различия в условиях функционирования малого бизнеса, имеющиеся вследствие географического положения, отраслевых особенностей.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Приоритеты государственной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ддержки и развития малого и среднего предпринимательства в Российской Федерации определены подпрограммой «Развитие малого и среднего предпринимательства» государственной программы. 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сформирована база системной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поддержки малого и среднего бизнеса. На территории округа представлены её элементы разной направленности – финансовые, информационные и другие. Основным методом поддержки стал программно-целевой подход.</w:t>
      </w:r>
    </w:p>
    <w:p w:rsidR="007E01BC" w:rsidRDefault="00032341">
      <w:pPr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Приоритетными направлениями развития предприн</w:t>
      </w:r>
      <w:r>
        <w:rPr>
          <w:rFonts w:ascii="Times New Roman" w:hAnsi="Times New Roman" w:cs="Times New Roman"/>
          <w:sz w:val="28"/>
        </w:rPr>
        <w:t xml:space="preserve">имательства в муниципальном округе </w:t>
      </w:r>
      <w:proofErr w:type="spellStart"/>
      <w:r>
        <w:rPr>
          <w:rFonts w:ascii="Times New Roman" w:hAnsi="Times New Roman" w:cs="Times New Roman"/>
          <w:sz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требующими государственной поддержки, являются виды хозяйственной деятельности, которые способствуют решению первоочередных задач, поставленных программой социально-экономического развития муниципального о</w:t>
      </w:r>
      <w:r>
        <w:rPr>
          <w:rFonts w:ascii="Times New Roman" w:hAnsi="Times New Roman" w:cs="Times New Roman"/>
          <w:sz w:val="28"/>
        </w:rPr>
        <w:t xml:space="preserve">круга </w:t>
      </w:r>
      <w:proofErr w:type="spellStart"/>
      <w:r>
        <w:rPr>
          <w:rFonts w:ascii="Times New Roman" w:hAnsi="Times New Roman" w:cs="Times New Roman"/>
          <w:sz w:val="28"/>
        </w:rPr>
        <w:t>Суетский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район.</w:t>
      </w:r>
    </w:p>
    <w:p w:rsidR="007E01BC" w:rsidRDefault="00032341">
      <w:pPr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Основные из них:</w:t>
      </w:r>
      <w:proofErr w:type="gramEnd"/>
    </w:p>
    <w:p w:rsidR="007E01BC" w:rsidRDefault="00032341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торгового обслуживания в малых сёлах;</w:t>
      </w:r>
    </w:p>
    <w:p w:rsidR="007E01BC" w:rsidRDefault="00032341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общественное питание;</w:t>
      </w:r>
    </w:p>
    <w:p w:rsidR="007E01BC" w:rsidRDefault="00032341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стоматология;</w:t>
      </w:r>
    </w:p>
    <w:p w:rsidR="007E01BC" w:rsidRDefault="00032341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сбор и вывоз ТБО;</w:t>
      </w:r>
    </w:p>
    <w:p w:rsidR="007E01BC" w:rsidRDefault="00032341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бытовые услуги (ремонт и пошив обуви, одежды; ремонт и строительство жилья; ремонт бытовой аппаратуры и</w:t>
      </w:r>
      <w:r>
        <w:rPr>
          <w:rFonts w:ascii="Times New Roman" w:hAnsi="Times New Roman" w:cs="Times New Roman"/>
          <w:sz w:val="28"/>
        </w:rPr>
        <w:t xml:space="preserve"> т.п.).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востребованными в последние годы инструментами финансовой помощи на территории района являются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АФМ,  гранты начинающим предпринимателям для открытия собственного бизнеса; субсидии, предоставляемые СМСП, занятым в реальном сект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 экономики и в сфере услуг.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приоритетами государственной политики в сфере поддержки и развития малого и среднего предпринимательства,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сформулированы цель и задачи новой муниципальной программы. 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создание благоприятных условий для устойчивого функционирования и развития малого и среднего предпринимательства, повышение образовательного уровня и правовой культуры предпринимателей на территории округа.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01BC" w:rsidRDefault="0003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дание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благоприятных условий для малого и среднего предпринимательства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территорииокруга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ее решения функционируют  ОМС, ИКЦ, осуществляется или планируется реализация значимых для округа проектов;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эффективных инструментов финансовой поддержки, ориентированных на СМСП, реализующих инвестиционные и социальные проекты.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увеличению инвестирования в основной капитал субъектов малого и среднего бизнеса будет развитие системы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едитования с использованием АГФ и АФМ, стимулирование предпринимательства путем компенсации затрат, связанных с созданием, приобретением основных средств и оборудования, в том числе с использованием лизинга;</w:t>
      </w:r>
    </w:p>
    <w:p w:rsidR="007E01BC" w:rsidRDefault="0003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конкурентоспособности СМСП производс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твенной сферы и сферы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Содействию в развитии местных товаропроизводителей будет способствовать их участие в региональных,  зональных и районных деловых мероприятиях, конкурсах, выставках-ярмарках, что обеспечит  продвижение продукции местных товаропр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оизводителей  на внешние рынки, за пределы округа.</w:t>
      </w:r>
    </w:p>
    <w:p w:rsidR="007E01BC" w:rsidRDefault="0003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взаимодействия органов власти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 субъектами малого и среднего предпринимательства и пропаганда предпринимательской деятельности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различных конкурсов, популяризация предпринимательства, а также иные мероприятия, направленные на пропаганду ведения собственного дела, позволят увеличить количество СМСП, участвующих в программных мероприятиях.</w:t>
      </w:r>
    </w:p>
    <w:p w:rsidR="007E01BC" w:rsidRDefault="0003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основу качественных конечных результатов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 принимаются индикаторы (показатели), характеризующие конечные общественно значимые результаты, уровень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удовлетворенности потребителей государственными услугами, их объемом и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еством:</w:t>
      </w:r>
    </w:p>
    <w:p w:rsidR="007E01BC" w:rsidRDefault="00032341">
      <w:pPr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7E01BC" w:rsidRDefault="00032341">
      <w:pPr>
        <w:spacing w:after="0" w:line="240" w:lineRule="auto"/>
        <w:ind w:left="4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СМСП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7E01BC" w:rsidRDefault="0003234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удельный вес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малом и среднем бизнесе в общей численности занятых в экономике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7E01BC" w:rsidRDefault="0003234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СМСП,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услугами информационно-консультационного центра поддержки предпринимательства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7E01BC" w:rsidRDefault="00032341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ведения бизнеса, финансовой грамотности и иным навыкам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 (нарастающим итогом).</w:t>
      </w:r>
    </w:p>
    <w:p w:rsidR="007E01BC" w:rsidRDefault="0003234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основных индикаторов и показателей эффективности реализации программы используются данные Территориального органа Федеральной службы государственной статистики по Алтайскому краю,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ФНС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по Алтайскому краю, сведения администрации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важнейших целевых индикаторов программы приведена в приложении 1.</w:t>
      </w:r>
    </w:p>
    <w:p w:rsidR="007E01BC" w:rsidRDefault="0003234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Сроки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в период с 2021 по 2025 годы.</w:t>
      </w:r>
    </w:p>
    <w:p w:rsidR="007E01BC" w:rsidRDefault="00032341">
      <w:pPr>
        <w:pStyle w:val="afff2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Обобщенная хар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актеристика мероприятий муниципальной программы </w:t>
      </w:r>
    </w:p>
    <w:p w:rsidR="007E01BC" w:rsidRDefault="007E01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программных мероприятий на 2021-2025 годы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едставляет собой действия, ориентированные на информационно-методическую, организационную поддержку малого и среднего предпринимательства, мероприятия по развитию и обеспечению функционирования инфраструктуры поддержки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повышение образовательного уровня и правовой культуры предпринимателей.</w:t>
      </w:r>
    </w:p>
    <w:p w:rsidR="007E01BC" w:rsidRDefault="00032341">
      <w:pPr>
        <w:widowControl w:val="0"/>
        <w:tabs>
          <w:tab w:val="left" w:pos="4320"/>
          <w:tab w:val="left" w:pos="6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Подробный перечень мероприятий программы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– 2025 годах приведен в приложении 2.</w:t>
      </w: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pStyle w:val="afff2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Общий объем финансовых ресурсов, необходимых для реализации </w:t>
      </w:r>
    </w:p>
    <w:p w:rsidR="007E01BC" w:rsidRDefault="00032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Общий объем финансирования программы составляет 193  тыс. рублей, в том числе: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районного бюджета – 193 тыс. рублей, из них: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– 8 тыс. рублей;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10 тыс. рублей;</w:t>
      </w:r>
    </w:p>
    <w:p w:rsidR="007E01BC" w:rsidRDefault="00032341">
      <w:pPr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2023 году –  125 тыс. рублей;</w:t>
      </w:r>
    </w:p>
    <w:p w:rsidR="007E01BC" w:rsidRDefault="00032341">
      <w:pPr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2024 году –  25 тыс.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7E01BC" w:rsidRDefault="00032341">
      <w:pPr>
        <w:spacing w:after="0" w:line="240" w:lineRule="auto"/>
        <w:ind w:left="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2025 году –  25 тыс. рублей.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</w:r>
    </w:p>
    <w:p w:rsidR="007E01BC" w:rsidRDefault="00032341">
      <w:pPr>
        <w:widowControl w:val="0"/>
        <w:tabs>
          <w:tab w:val="left" w:pos="4320"/>
          <w:tab w:val="left" w:pos="6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 финансовые затраты на реализацию программы с распре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делением по годам и источникам финансирования приведены в приложении 3. </w:t>
      </w: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pStyle w:val="afff2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рисков реализации муниципальной программы и описание мер управления рисками реализации муниципальной программы</w:t>
      </w:r>
    </w:p>
    <w:p w:rsidR="007E01BC" w:rsidRDefault="007E01BC">
      <w:pPr>
        <w:pStyle w:val="aff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BC" w:rsidRDefault="00032341">
      <w:pPr>
        <w:pStyle w:val="afff2"/>
        <w:widowControl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7E01BC" w:rsidRDefault="00032341">
      <w:pPr>
        <w:pStyle w:val="afff2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замедление социально-экономического развития Российской Федерации, Алтайского края и округа, связанное с ухудшением внутренней и внешней конъюнктуры, снижением инвестиционной активн</w:t>
      </w:r>
      <w:r>
        <w:rPr>
          <w:rFonts w:ascii="Times New Roman" w:hAnsi="Times New Roman" w:cs="Times New Roman"/>
          <w:sz w:val="28"/>
          <w:szCs w:val="28"/>
        </w:rPr>
        <w:t>ости, ускорением инфляционных процессов. Риск обусловлен значительной зависимостью макроэкономических показателей развития района от внешних факторов.</w:t>
      </w:r>
    </w:p>
    <w:p w:rsidR="007E01BC" w:rsidRDefault="0003234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риск может быть частично минимизирован посредством выполнения мероприятий по мониторингу и коррект</w:t>
      </w:r>
      <w:r>
        <w:rPr>
          <w:rFonts w:ascii="Times New Roman" w:hAnsi="Times New Roman" w:cs="Times New Roman"/>
          <w:sz w:val="28"/>
          <w:szCs w:val="28"/>
        </w:rPr>
        <w:t>ировке муниципальной программы, а также принятия оперативных мер, упреждающих возникновение ситуаций, ставящих под угрозу достижение целей настоящей муниципальной программы;</w:t>
      </w:r>
    </w:p>
    <w:p w:rsidR="007E01BC" w:rsidRDefault="00032341">
      <w:pPr>
        <w:pStyle w:val="afff2"/>
        <w:widowControl w:val="0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федерального, регионального законодательства и необходимость формиров</w:t>
      </w:r>
      <w:r>
        <w:rPr>
          <w:rFonts w:ascii="Times New Roman" w:hAnsi="Times New Roman" w:cs="Times New Roman"/>
          <w:sz w:val="28"/>
          <w:szCs w:val="28"/>
        </w:rPr>
        <w:t>ания в связи с этим дополнительной нормативно-правовой базы, обеспечивающей эффективную реализацию муниципальной программы. Это может привести к увеличению сроков или изменению условий реализации мероприятий муниципальной программы.</w:t>
      </w:r>
    </w:p>
    <w:p w:rsidR="007E01BC" w:rsidRDefault="00032341">
      <w:pPr>
        <w:pStyle w:val="afff2"/>
        <w:widowControl w:val="0"/>
        <w:spacing w:before="2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минимизации воздейс</w:t>
      </w:r>
      <w:r>
        <w:rPr>
          <w:rFonts w:ascii="Times New Roman" w:hAnsi="Times New Roman" w:cs="Times New Roman"/>
          <w:sz w:val="28"/>
          <w:szCs w:val="28"/>
        </w:rPr>
        <w:t>твия данной группы рисков планируется:</w:t>
      </w:r>
    </w:p>
    <w:p w:rsidR="007E01BC" w:rsidRDefault="00032341">
      <w:pPr>
        <w:pStyle w:val="afff2"/>
        <w:widowControl w:val="0"/>
        <w:spacing w:before="2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мониторинг ожидаемых изменений в федеральном, региональном законодательстве; на этапе разработки проектов документов привлекать к их обсуждению основные заинтересованные стороны, которые впоследствии должны </w:t>
      </w:r>
      <w:r>
        <w:rPr>
          <w:rFonts w:ascii="Times New Roman" w:hAnsi="Times New Roman" w:cs="Times New Roman"/>
          <w:sz w:val="28"/>
          <w:szCs w:val="28"/>
        </w:rPr>
        <w:t>принять участие в их согласовании;</w:t>
      </w:r>
    </w:p>
    <w:p w:rsidR="007E01BC" w:rsidRDefault="00032341">
      <w:pPr>
        <w:pStyle w:val="afff2"/>
        <w:widowControl w:val="0"/>
        <w:spacing w:before="2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отсутствие финансирования или финансирование в недостаточном объеме в результате снижения доходной части местного бюджета, в том числе вследствие неудовлетворительного финансового положения хозяйствующих субъектов, что</w:t>
      </w:r>
      <w:r>
        <w:rPr>
          <w:rFonts w:ascii="Times New Roman" w:hAnsi="Times New Roman" w:cs="Times New Roman"/>
          <w:sz w:val="28"/>
          <w:szCs w:val="28"/>
        </w:rPr>
        <w:t xml:space="preserve"> не позволит обеспечить реализацию ряда запланированных мероприятий муниципальной программы.</w:t>
      </w:r>
    </w:p>
    <w:p w:rsidR="007E01BC" w:rsidRDefault="00032341">
      <w:pPr>
        <w:pStyle w:val="afff2"/>
        <w:widowControl w:val="0"/>
        <w:spacing w:before="2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является существенным и может быть частично минимизирован посредством определения приоритетов для первоочередного финансирования, а также уточнения объемов фи</w:t>
      </w:r>
      <w:r>
        <w:rPr>
          <w:rFonts w:ascii="Times New Roman" w:hAnsi="Times New Roman" w:cs="Times New Roman"/>
          <w:sz w:val="28"/>
          <w:szCs w:val="28"/>
        </w:rPr>
        <w:t xml:space="preserve">нансовых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на реализацию мероприятий муниципальной программы, в зависимости от достигнутых результатов;</w:t>
      </w:r>
    </w:p>
    <w:p w:rsidR="007E01BC" w:rsidRDefault="00032341">
      <w:pPr>
        <w:pStyle w:val="afff2"/>
        <w:widowControl w:val="0"/>
        <w:spacing w:before="22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инертность органов местного самоуправления, формальный подход к внедрению управленческих инноваций могут снизить эффект от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программы.</w:t>
      </w:r>
    </w:p>
    <w:p w:rsidR="007E01BC" w:rsidRDefault="00032341">
      <w:pPr>
        <w:pStyle w:val="afff2"/>
        <w:widowControl w:val="0"/>
        <w:spacing w:before="22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условиями минимизации данных рисков являются: формирование эффективной системы управления реализацией муниципальной программы, проведение систематического мониторинга результативности реализации муниципальной прог</w:t>
      </w:r>
      <w:r>
        <w:rPr>
          <w:rFonts w:ascii="Times New Roman" w:hAnsi="Times New Roman" w:cs="Times New Roman"/>
          <w:sz w:val="28"/>
          <w:szCs w:val="28"/>
        </w:rPr>
        <w:t>раммы; своевременная корректировка мероприятий муниципальной программы.</w:t>
      </w:r>
    </w:p>
    <w:p w:rsidR="007E01BC" w:rsidRDefault="007E01BC">
      <w:pPr>
        <w:pStyle w:val="aff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BC" w:rsidRDefault="00032341">
      <w:pPr>
        <w:pStyle w:val="afff2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7E01BC" w:rsidRDefault="007E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Оценка эффективности Программы осуществляется согласно приложению 2  к постановлению Администрации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 07.02.2023 года № 34 «Об утверждении порядка разработки, реализации и оценки эффективности муниципальных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рограмм».</w:t>
      </w:r>
    </w:p>
    <w:p w:rsidR="007E01BC" w:rsidRDefault="00032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01BC" w:rsidRDefault="00032341">
      <w:pPr>
        <w:pStyle w:val="afff2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управления и контроля реализации программы</w:t>
      </w:r>
    </w:p>
    <w:p w:rsidR="007E01BC" w:rsidRDefault="007E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00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администрации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организует контроль и оперативное управление, реализацией утвержденной программы, включая координацию деятельности исполнит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и участников программных мероприятий.</w:t>
      </w:r>
    </w:p>
    <w:p w:rsidR="007E01BC" w:rsidRDefault="00032341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Исполнители программы в рамках своей компетенции разрабатывают нормативные правовые акты администрации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регламентирующие сроки и порядок рассмотрения заявок СМСП, претендующих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государственную поддержку, обеспечивают выполнение намеченных мероприятий, осуществляют размещение заказов на выполнение работ в соответствии с </w:t>
      </w:r>
      <w:hyperlink r:id="rId9" w:tooltip="garantF1://12041175.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 44-ФЗ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нужд», подготовку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корректировке программы, формирование бюджетных заявок на финансирование мероприятий программы, представляют отчет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их реализации.</w:t>
      </w:r>
    </w:p>
    <w:p w:rsidR="007E01BC" w:rsidRDefault="0003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sub_3001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мероприятий программы представляют информацию о ходе ее реализации в  Управление по экономическому развитию и имущественным отношениям администрации района ежеквартально, до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отчетным периодом. </w:t>
      </w:r>
      <w:bookmarkEnd w:id="2"/>
    </w:p>
    <w:p w:rsidR="007E01BC" w:rsidRDefault="007E01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E01BC">
          <w:headerReference w:type="default" r:id="rId10"/>
          <w:pgSz w:w="11907" w:h="16840"/>
          <w:pgMar w:top="426" w:right="851" w:bottom="709" w:left="1701" w:header="397" w:footer="737" w:gutter="0"/>
          <w:cols w:space="720"/>
          <w:titlePg/>
          <w:docGrid w:linePitch="360"/>
        </w:sectPr>
      </w:pPr>
    </w:p>
    <w:p w:rsidR="007E01BC" w:rsidRDefault="00032341">
      <w:pPr>
        <w:spacing w:after="0" w:line="240" w:lineRule="exact"/>
        <w:ind w:left="106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E01BC" w:rsidRDefault="00032341">
      <w:pPr>
        <w:spacing w:after="0" w:line="240" w:lineRule="exact"/>
        <w:ind w:left="106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«Поддержка и развитие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2021-2025 годы</w:t>
      </w:r>
    </w:p>
    <w:p w:rsidR="007E01BC" w:rsidRDefault="007E01BC">
      <w:pPr>
        <w:widowControl w:val="0"/>
        <w:tabs>
          <w:tab w:val="left" w:pos="4320"/>
          <w:tab w:val="left" w:pos="6329"/>
        </w:tabs>
        <w:spacing w:after="0" w:line="240" w:lineRule="auto"/>
        <w:ind w:left="11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</w:t>
      </w:r>
    </w:p>
    <w:p w:rsidR="007E01BC" w:rsidRDefault="00032341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важнейших целевых индикаторов и показателей эффективности реализации муниципальной программы                           «Поддержка и развитие малого и среднего предпринимательства в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2021–2025 годы</w:t>
      </w:r>
    </w:p>
    <w:p w:rsidR="007E01BC" w:rsidRDefault="007E01BC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47"/>
        <w:gridCol w:w="1140"/>
        <w:gridCol w:w="998"/>
        <w:gridCol w:w="1140"/>
        <w:gridCol w:w="997"/>
        <w:gridCol w:w="997"/>
        <w:gridCol w:w="1140"/>
        <w:gridCol w:w="1140"/>
        <w:gridCol w:w="1213"/>
      </w:tblGrid>
      <w:tr w:rsidR="007E01BC">
        <w:trPr>
          <w:trHeight w:val="279"/>
        </w:trPr>
        <w:tc>
          <w:tcPr>
            <w:tcW w:w="821" w:type="dxa"/>
            <w:vMerge w:val="restart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7" w:type="dxa"/>
            <w:vMerge w:val="restart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1140" w:type="dxa"/>
            <w:vMerge w:val="restart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625" w:type="dxa"/>
            <w:gridSpan w:val="7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 по годам</w:t>
            </w:r>
          </w:p>
        </w:tc>
      </w:tr>
      <w:tr w:rsidR="007E01BC">
        <w:trPr>
          <w:trHeight w:val="276"/>
        </w:trPr>
        <w:tc>
          <w:tcPr>
            <w:tcW w:w="821" w:type="dxa"/>
            <w:vMerge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 w:val="restart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 (факт)</w:t>
            </w:r>
          </w:p>
        </w:tc>
        <w:tc>
          <w:tcPr>
            <w:tcW w:w="1140" w:type="dxa"/>
            <w:vMerge w:val="restart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 (факт)</w:t>
            </w:r>
          </w:p>
        </w:tc>
        <w:tc>
          <w:tcPr>
            <w:tcW w:w="5487" w:type="dxa"/>
            <w:gridSpan w:val="5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государственной программы</w:t>
            </w:r>
          </w:p>
        </w:tc>
      </w:tr>
      <w:tr w:rsidR="007E01BC">
        <w:trPr>
          <w:trHeight w:val="141"/>
        </w:trPr>
        <w:tc>
          <w:tcPr>
            <w:tcW w:w="821" w:type="dxa"/>
            <w:vMerge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vMerge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13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7E01BC">
        <w:trPr>
          <w:trHeight w:val="279"/>
        </w:trPr>
        <w:tc>
          <w:tcPr>
            <w:tcW w:w="821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3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01BC">
        <w:trPr>
          <w:trHeight w:val="429"/>
        </w:trPr>
        <w:tc>
          <w:tcPr>
            <w:tcW w:w="821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7" w:type="dxa"/>
          </w:tcPr>
          <w:p w:rsidR="007E01BC" w:rsidRDefault="00032341">
            <w:pPr>
              <w:widowControl w:val="0"/>
              <w:spacing w:after="0" w:line="290" w:lineRule="exact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СМСП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8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3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E01BC">
        <w:trPr>
          <w:trHeight w:val="839"/>
        </w:trPr>
        <w:tc>
          <w:tcPr>
            <w:tcW w:w="821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7" w:type="dxa"/>
          </w:tcPr>
          <w:p w:rsidR="007E01BC" w:rsidRDefault="00032341">
            <w:pPr>
              <w:widowControl w:val="0"/>
              <w:spacing w:after="0" w:line="290" w:lineRule="exact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малого и среднего предпринимательства 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8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97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997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213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7E01BC">
        <w:trPr>
          <w:trHeight w:val="800"/>
        </w:trPr>
        <w:tc>
          <w:tcPr>
            <w:tcW w:w="821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7" w:type="dxa"/>
          </w:tcPr>
          <w:p w:rsidR="007E01BC" w:rsidRDefault="00032341">
            <w:pPr>
              <w:widowControl w:val="0"/>
              <w:spacing w:after="0" w:line="290" w:lineRule="exact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малом и среднем бизнесе в общей численности занятых в экономике округа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8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97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97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13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7E01BC">
        <w:trPr>
          <w:trHeight w:val="946"/>
        </w:trPr>
        <w:tc>
          <w:tcPr>
            <w:tcW w:w="821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7" w:type="dxa"/>
          </w:tcPr>
          <w:p w:rsidR="007E01BC" w:rsidRDefault="00032341">
            <w:pPr>
              <w:widowControl w:val="0"/>
              <w:spacing w:after="0" w:line="290" w:lineRule="exact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СМСП,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услугами информационно-консультационного центра поддержки предпринимательства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округе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8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3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01BC">
        <w:trPr>
          <w:trHeight w:val="946"/>
        </w:trPr>
        <w:tc>
          <w:tcPr>
            <w:tcW w:w="821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7" w:type="dxa"/>
          </w:tcPr>
          <w:p w:rsidR="007E01BC" w:rsidRDefault="00032341">
            <w:pPr>
              <w:widowControl w:val="0"/>
              <w:spacing w:after="0" w:line="290" w:lineRule="exact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 ведения бизнеса, финансовой грамотности и иным навыкам предпринимательской деятельности (нарастающим итогом)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8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7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40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3" w:type="dxa"/>
          </w:tcPr>
          <w:p w:rsidR="007E01BC" w:rsidRDefault="007E01BC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BC" w:rsidRDefault="000323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E01BC">
        <w:trPr>
          <w:trHeight w:val="946"/>
        </w:trPr>
        <w:tc>
          <w:tcPr>
            <w:tcW w:w="821" w:type="dxa"/>
          </w:tcPr>
          <w:p w:rsidR="007E01BC" w:rsidRDefault="0003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7" w:type="dxa"/>
          </w:tcPr>
          <w:p w:rsidR="007E01BC" w:rsidRDefault="00032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(нарастающим итогом)</w:t>
            </w:r>
          </w:p>
        </w:tc>
        <w:tc>
          <w:tcPr>
            <w:tcW w:w="1140" w:type="dxa"/>
          </w:tcPr>
          <w:p w:rsidR="007E01BC" w:rsidRDefault="0003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8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3" w:type="dxa"/>
          </w:tcPr>
          <w:p w:rsidR="007E01BC" w:rsidRDefault="00032341">
            <w:pPr>
              <w:widowControl w:val="0"/>
              <w:spacing w:after="0" w:line="2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E01BC" w:rsidRDefault="007E01BC">
      <w:pPr>
        <w:widowControl w:val="0"/>
        <w:tabs>
          <w:tab w:val="left" w:pos="4320"/>
          <w:tab w:val="left" w:pos="6329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7E01BC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widowControl w:val="0"/>
        <w:tabs>
          <w:tab w:val="left" w:pos="4320"/>
          <w:tab w:val="left" w:pos="6329"/>
          <w:tab w:val="left" w:pos="10710"/>
        </w:tabs>
        <w:spacing w:after="0" w:line="240" w:lineRule="exact"/>
        <w:ind w:left="94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ПРИЛОЖЕНИЕ 3</w:t>
      </w:r>
    </w:p>
    <w:p w:rsidR="007E01BC" w:rsidRDefault="00032341">
      <w:pPr>
        <w:spacing w:after="0" w:line="240" w:lineRule="exact"/>
        <w:ind w:left="106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«Поддержка и развитие малого и среднего предпринимательства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на 2021-2025 годы</w:t>
      </w:r>
    </w:p>
    <w:p w:rsidR="007E01BC" w:rsidRDefault="007E01BC">
      <w:pPr>
        <w:widowControl w:val="0"/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BC" w:rsidRDefault="00032341">
      <w:pPr>
        <w:widowControl w:val="0"/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7E01BC" w:rsidRDefault="00032341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ресурсов, необходимых для реализации </w:t>
      </w:r>
    </w:p>
    <w:p w:rsidR="007E01BC" w:rsidRDefault="00032341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E01BC" w:rsidRDefault="007E01BC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134"/>
        <w:gridCol w:w="1134"/>
        <w:gridCol w:w="1134"/>
        <w:gridCol w:w="1134"/>
        <w:gridCol w:w="1559"/>
        <w:gridCol w:w="1842"/>
      </w:tblGrid>
      <w:tr w:rsidR="007E01BC">
        <w:trPr>
          <w:trHeight w:val="144"/>
        </w:trPr>
        <w:tc>
          <w:tcPr>
            <w:tcW w:w="4219" w:type="dxa"/>
            <w:vMerge w:val="restart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7513" w:type="dxa"/>
            <w:gridSpan w:val="6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1842" w:type="dxa"/>
            <w:vMerge w:val="restart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E01BC">
        <w:trPr>
          <w:trHeight w:val="294"/>
        </w:trPr>
        <w:tc>
          <w:tcPr>
            <w:tcW w:w="4219" w:type="dxa"/>
            <w:vMerge/>
          </w:tcPr>
          <w:p w:rsidR="007E01BC" w:rsidRDefault="007E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59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1BC">
        <w:trPr>
          <w:trHeight w:val="288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7E01BC" w:rsidRDefault="00032341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01BC">
        <w:trPr>
          <w:trHeight w:val="288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финансовых затрат </w:t>
            </w:r>
          </w:p>
        </w:tc>
        <w:tc>
          <w:tcPr>
            <w:tcW w:w="1418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42" w:type="dxa"/>
            <w:vMerge w:val="restart"/>
          </w:tcPr>
          <w:p w:rsidR="007E01BC" w:rsidRDefault="00032341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</w:p>
          <w:p w:rsidR="007E01BC" w:rsidRDefault="00032341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федеральных, краевых средств осуществляется по итогам участия в конкурсах, 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исполнительной власти Алтайского края.</w:t>
            </w:r>
          </w:p>
        </w:tc>
      </w:tr>
      <w:tr w:rsidR="007E01BC">
        <w:trPr>
          <w:trHeight w:val="323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BC">
        <w:trPr>
          <w:trHeight w:val="303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418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7E01BC" w:rsidRDefault="0003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BC">
        <w:trPr>
          <w:trHeight w:val="510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краевого бюджета</w:t>
            </w:r>
          </w:p>
          <w:p w:rsidR="007E01BC" w:rsidRDefault="0003234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BC">
        <w:trPr>
          <w:trHeight w:val="601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BC">
        <w:trPr>
          <w:trHeight w:val="294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BC">
        <w:trPr>
          <w:trHeight w:val="300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1418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BC">
        <w:trPr>
          <w:trHeight w:val="338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01BC">
        <w:trPr>
          <w:trHeight w:val="285"/>
        </w:trPr>
        <w:tc>
          <w:tcPr>
            <w:tcW w:w="4219" w:type="dxa"/>
          </w:tcPr>
          <w:p w:rsidR="007E01BC" w:rsidRDefault="0003234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418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E01BC" w:rsidRDefault="007E0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7E01BC" w:rsidRDefault="007E01BC">
            <w:p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01BC" w:rsidRDefault="007E01B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sectPr w:rsidR="007E01BC">
      <w:headerReference w:type="default" r:id="rId11"/>
      <w:pgSz w:w="16838" w:h="11906" w:orient="landscape"/>
      <w:pgMar w:top="426" w:right="678" w:bottom="284" w:left="1134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BC" w:rsidRDefault="00032341">
      <w:pPr>
        <w:spacing w:after="0" w:line="240" w:lineRule="auto"/>
      </w:pPr>
      <w:r>
        <w:separator/>
      </w:r>
    </w:p>
  </w:endnote>
  <w:endnote w:type="continuationSeparator" w:id="0">
    <w:p w:rsidR="007E01BC" w:rsidRDefault="0003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BC" w:rsidRDefault="00032341">
      <w:pPr>
        <w:spacing w:after="0" w:line="240" w:lineRule="auto"/>
      </w:pPr>
      <w:r>
        <w:separator/>
      </w:r>
    </w:p>
  </w:footnote>
  <w:footnote w:type="continuationSeparator" w:id="0">
    <w:p w:rsidR="007E01BC" w:rsidRDefault="0003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BC" w:rsidRDefault="007E01BC">
    <w:pPr>
      <w:pStyle w:val="af"/>
      <w:jc w:val="right"/>
    </w:pPr>
  </w:p>
  <w:p w:rsidR="007E01BC" w:rsidRDefault="007E01BC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1BC" w:rsidRDefault="007E01BC">
    <w:pPr>
      <w:pStyle w:val="af"/>
      <w:jc w:val="right"/>
    </w:pPr>
  </w:p>
  <w:p w:rsidR="007E01BC" w:rsidRDefault="007E01B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FD8"/>
    <w:multiLevelType w:val="hybridMultilevel"/>
    <w:tmpl w:val="266AF76A"/>
    <w:lvl w:ilvl="0" w:tplc="44EE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96BB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AC4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72A0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8E0D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8C7F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6EC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7ACA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105E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764409"/>
    <w:multiLevelType w:val="hybridMultilevel"/>
    <w:tmpl w:val="8F6EE134"/>
    <w:lvl w:ilvl="0" w:tplc="48E29E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46442E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0F6FA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7AEB4B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E6745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FC230F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22C01C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37637C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84EE07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F20775"/>
    <w:multiLevelType w:val="hybridMultilevel"/>
    <w:tmpl w:val="8A3CBAE6"/>
    <w:lvl w:ilvl="0" w:tplc="BBB0CA7A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55887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E64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69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0C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EE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46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8D2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C5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821A9"/>
    <w:multiLevelType w:val="hybridMultilevel"/>
    <w:tmpl w:val="0BB0A26E"/>
    <w:lvl w:ilvl="0" w:tplc="BEB6C4C4">
      <w:start w:val="1"/>
      <w:numFmt w:val="decimal"/>
      <w:lvlText w:val="%1."/>
      <w:lvlJc w:val="left"/>
      <w:pPr>
        <w:ind w:left="720" w:hanging="360"/>
      </w:pPr>
    </w:lvl>
    <w:lvl w:ilvl="1" w:tplc="0B86776E">
      <w:start w:val="1"/>
      <w:numFmt w:val="lowerLetter"/>
      <w:lvlText w:val="%2."/>
      <w:lvlJc w:val="left"/>
      <w:pPr>
        <w:ind w:left="1440" w:hanging="360"/>
      </w:pPr>
    </w:lvl>
    <w:lvl w:ilvl="2" w:tplc="472CD9EA">
      <w:start w:val="1"/>
      <w:numFmt w:val="lowerRoman"/>
      <w:lvlText w:val="%3."/>
      <w:lvlJc w:val="right"/>
      <w:pPr>
        <w:ind w:left="2160" w:hanging="180"/>
      </w:pPr>
    </w:lvl>
    <w:lvl w:ilvl="3" w:tplc="877880DC">
      <w:start w:val="1"/>
      <w:numFmt w:val="decimal"/>
      <w:lvlText w:val="%4."/>
      <w:lvlJc w:val="left"/>
      <w:pPr>
        <w:ind w:left="2880" w:hanging="360"/>
      </w:pPr>
    </w:lvl>
    <w:lvl w:ilvl="4" w:tplc="00AC450A">
      <w:start w:val="1"/>
      <w:numFmt w:val="lowerLetter"/>
      <w:lvlText w:val="%5."/>
      <w:lvlJc w:val="left"/>
      <w:pPr>
        <w:ind w:left="3600" w:hanging="360"/>
      </w:pPr>
    </w:lvl>
    <w:lvl w:ilvl="5" w:tplc="04603AAC">
      <w:start w:val="1"/>
      <w:numFmt w:val="lowerRoman"/>
      <w:lvlText w:val="%6."/>
      <w:lvlJc w:val="right"/>
      <w:pPr>
        <w:ind w:left="4320" w:hanging="180"/>
      </w:pPr>
    </w:lvl>
    <w:lvl w:ilvl="6" w:tplc="2E4693FC">
      <w:start w:val="1"/>
      <w:numFmt w:val="decimal"/>
      <w:lvlText w:val="%7."/>
      <w:lvlJc w:val="left"/>
      <w:pPr>
        <w:ind w:left="5040" w:hanging="360"/>
      </w:pPr>
    </w:lvl>
    <w:lvl w:ilvl="7" w:tplc="991649B4">
      <w:start w:val="1"/>
      <w:numFmt w:val="lowerLetter"/>
      <w:lvlText w:val="%8."/>
      <w:lvlJc w:val="left"/>
      <w:pPr>
        <w:ind w:left="5760" w:hanging="360"/>
      </w:pPr>
    </w:lvl>
    <w:lvl w:ilvl="8" w:tplc="D1F653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67209"/>
    <w:multiLevelType w:val="hybridMultilevel"/>
    <w:tmpl w:val="196C8A34"/>
    <w:lvl w:ilvl="0" w:tplc="764A50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D443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9CDD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2E39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9813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1E90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C47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80A7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28D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644E5CCE"/>
    <w:multiLevelType w:val="hybridMultilevel"/>
    <w:tmpl w:val="127A0E06"/>
    <w:lvl w:ilvl="0" w:tplc="43DEE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A9023A4">
      <w:start w:val="1"/>
      <w:numFmt w:val="lowerLetter"/>
      <w:lvlText w:val="%2."/>
      <w:lvlJc w:val="left"/>
      <w:pPr>
        <w:ind w:left="1440" w:hanging="360"/>
      </w:pPr>
    </w:lvl>
    <w:lvl w:ilvl="2" w:tplc="99CCA8EA">
      <w:start w:val="1"/>
      <w:numFmt w:val="lowerRoman"/>
      <w:lvlText w:val="%3."/>
      <w:lvlJc w:val="right"/>
      <w:pPr>
        <w:ind w:left="2160" w:hanging="180"/>
      </w:pPr>
    </w:lvl>
    <w:lvl w:ilvl="3" w:tplc="BF1AC756">
      <w:start w:val="1"/>
      <w:numFmt w:val="decimal"/>
      <w:lvlText w:val="%4."/>
      <w:lvlJc w:val="left"/>
      <w:pPr>
        <w:ind w:left="2880" w:hanging="360"/>
      </w:pPr>
    </w:lvl>
    <w:lvl w:ilvl="4" w:tplc="C0FAB450">
      <w:start w:val="1"/>
      <w:numFmt w:val="lowerLetter"/>
      <w:lvlText w:val="%5."/>
      <w:lvlJc w:val="left"/>
      <w:pPr>
        <w:ind w:left="3600" w:hanging="360"/>
      </w:pPr>
    </w:lvl>
    <w:lvl w:ilvl="5" w:tplc="E44A6C5E">
      <w:start w:val="1"/>
      <w:numFmt w:val="lowerRoman"/>
      <w:lvlText w:val="%6."/>
      <w:lvlJc w:val="right"/>
      <w:pPr>
        <w:ind w:left="4320" w:hanging="180"/>
      </w:pPr>
    </w:lvl>
    <w:lvl w:ilvl="6" w:tplc="C3089926">
      <w:start w:val="1"/>
      <w:numFmt w:val="decimal"/>
      <w:lvlText w:val="%7."/>
      <w:lvlJc w:val="left"/>
      <w:pPr>
        <w:ind w:left="5040" w:hanging="360"/>
      </w:pPr>
    </w:lvl>
    <w:lvl w:ilvl="7" w:tplc="B40CAACC">
      <w:start w:val="1"/>
      <w:numFmt w:val="lowerLetter"/>
      <w:lvlText w:val="%8."/>
      <w:lvlJc w:val="left"/>
      <w:pPr>
        <w:ind w:left="5760" w:hanging="360"/>
      </w:pPr>
    </w:lvl>
    <w:lvl w:ilvl="8" w:tplc="EA263A5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B12F3"/>
    <w:multiLevelType w:val="hybridMultilevel"/>
    <w:tmpl w:val="390E4304"/>
    <w:lvl w:ilvl="0" w:tplc="77F8E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4E35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C17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63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0D1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8254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A7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8FC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2F0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BC"/>
    <w:rsid w:val="00032341"/>
    <w:rsid w:val="007E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703"/>
      <w:outlineLvl w:val="0"/>
    </w:pPr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</w:style>
  <w:style w:type="paragraph" w:styleId="af4">
    <w:name w:val="Body Text Indent"/>
    <w:basedOn w:val="a"/>
    <w:link w:val="af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Body Text"/>
    <w:basedOn w:val="a"/>
    <w:link w:val="af7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8">
    <w:name w:val="caption"/>
    <w:basedOn w:val="a"/>
    <w:next w:val="a"/>
    <w:qFormat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9">
    <w:name w:val="Document Map"/>
    <w:basedOn w:val="a"/>
    <w:link w:val="afa"/>
    <w:semiHidden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"/>
    <w:link w:val="afc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Hyperlink"/>
    <w:unhideWhenUsed/>
    <w:rPr>
      <w:color w:val="0000FF"/>
      <w:u w:val="single"/>
    </w:rPr>
  </w:style>
  <w:style w:type="table" w:styleId="afe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Цветовое выделение"/>
    <w:rPr>
      <w:b/>
      <w:bCs/>
      <w:color w:val="000080"/>
    </w:rPr>
  </w:style>
  <w:style w:type="paragraph" w:styleId="aff1">
    <w:name w:val="footnote text"/>
    <w:basedOn w:val="a"/>
    <w:link w:val="aff2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nhideWhenUsed/>
    <w:rPr>
      <w:vertAlign w:val="superscript"/>
    </w:rPr>
  </w:style>
  <w:style w:type="paragraph" w:styleId="aff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Cell">
    <w:name w:val="ConsCell"/>
    <w:pPr>
      <w:widowControl w:val="0"/>
      <w:spacing w:after="0" w:line="240" w:lineRule="auto"/>
      <w:ind w:right="19772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26">
    <w:name w:val="Знак2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1 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Emphasis"/>
    <w:qFormat/>
    <w:rPr>
      <w:b/>
      <w:bCs/>
      <w:i w:val="0"/>
      <w:iCs w:val="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pPr>
      <w:widowControl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spacing w:after="0" w:line="32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spacing w:after="0" w:line="32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aff9">
    <w:name w:val="Гипертекстовая ссылка"/>
    <w:uiPriority w:val="99"/>
    <w:rPr>
      <w:b w:val="0"/>
      <w:bCs w:val="0"/>
      <w:color w:val="106BBE"/>
    </w:rPr>
  </w:style>
  <w:style w:type="character" w:styleId="affa">
    <w:name w:val="annotation reference"/>
    <w:unhideWhenUsed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">
    <w:name w:val="Знак Знак Знак Знак Знак Знак Знак"/>
    <w:basedOn w:val="a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f0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character" w:styleId="afff1">
    <w:name w:val="Strong"/>
    <w:basedOn w:val="a0"/>
    <w:uiPriority w:val="22"/>
    <w:qFormat/>
    <w:rPr>
      <w:b/>
      <w:bCs/>
    </w:rPr>
  </w:style>
  <w:style w:type="paragraph" w:styleId="afff2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41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8053-6BB6-41AF-8189-A29AA052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4072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Тимошенко</dc:creator>
  <cp:lastModifiedBy>IAHARCHENKO</cp:lastModifiedBy>
  <cp:revision>165</cp:revision>
  <cp:lastPrinted>2023-10-25T04:33:00Z</cp:lastPrinted>
  <dcterms:created xsi:type="dcterms:W3CDTF">2020-12-17T09:24:00Z</dcterms:created>
  <dcterms:modified xsi:type="dcterms:W3CDTF">2023-10-25T04:34:00Z</dcterms:modified>
</cp:coreProperties>
</file>