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2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b w:val="false"/>
          <w:sz w:val="24"/>
        </w:rPr>
      </w:pP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center"/>
        <w:rPr>
          <w:rFonts w:ascii="PT Serif" w:hAnsi="PT Serif" w:cs="PT Serif" w:eastAsia="PT Serif"/>
          <w:b/>
          <w:sz w:val="24"/>
        </w:rPr>
      </w:pPr>
      <w:r>
        <w:rPr>
          <w:rFonts w:ascii="PT Serif" w:hAnsi="PT Serif" w:cs="PT Serif" w:eastAsia="PT Serif"/>
          <w:b/>
          <w:sz w:val="24"/>
        </w:rPr>
        <w:t xml:space="preserve">Календарь предпринимателя на август 2023 года</w:t>
      </w:r>
      <w:r>
        <w:rPr>
          <w:rFonts w:ascii="PT Serif" w:hAnsi="PT Serif" w:cs="PT Serif" w:eastAsia="PT Serif"/>
          <w:b/>
          <w:sz w:val="24"/>
        </w:rPr>
      </w:r>
      <w:r>
        <w:rPr>
          <w:b/>
        </w:rPr>
      </w:r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К</w:t>
      </w:r>
      <w:r>
        <w:rPr>
          <w:rFonts w:ascii="PT Serif" w:hAnsi="PT Serif" w:cs="PT Serif" w:eastAsia="PT Serif"/>
          <w:b w:val="false"/>
          <w:sz w:val="24"/>
        </w:rPr>
        <w:t xml:space="preserve">орпорация МСП подготовила ежемесячный календарь предпринимателя, который поможет малому и среднему бизнесу ориентироваться в сроках платежей и отчетности. В августе их гораздо меньше по сравнению с июлем, поэтому последний месяц лета называют идеальным вре</w:t>
      </w:r>
      <w:r>
        <w:rPr>
          <w:rFonts w:ascii="PT Serif" w:hAnsi="PT Serif" w:cs="PT Serif" w:eastAsia="PT Serif"/>
          <w:b w:val="false"/>
          <w:sz w:val="24"/>
        </w:rPr>
        <w:t xml:space="preserve">менем для отпуска бухгалтера.</w:t>
      </w:r>
      <w:r>
        <w:rPr>
          <w:rFonts w:ascii="PT Serif" w:hAnsi="PT Serif" w:cs="PT Serif" w:eastAsia="PT Serif"/>
          <w:b w:val="false"/>
          <w:sz w:val="24"/>
        </w:rPr>
      </w:r>
      <w:r/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До 15 августа организации и ИП, привлекающие работников, уплачивают в Социальный фонд страховые взносы на страхование от несчастных случаев на производстве и профессиональных заболеваний за июль.</w:t>
      </w:r>
      <w:r>
        <w:rPr>
          <w:rFonts w:ascii="PT Serif" w:hAnsi="PT Serif" w:cs="PT Serif" w:eastAsia="PT Serif"/>
          <w:b w:val="false"/>
          <w:sz w:val="24"/>
        </w:rPr>
      </w:r>
      <w:r/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До 21 августа импортеры товаров из государств ЕАЭС уплачивают НДС и акцизы за июль и представляют в налоговую инспекцию декларацию и документы в соответствии с Договором о ЕАЭС. Обратите внимание: с этого месяца применяется новая форма декларации.</w:t>
      </w:r>
      <w:r>
        <w:rPr>
          <w:rFonts w:ascii="PT Serif" w:hAnsi="PT Serif" w:cs="PT Serif" w:eastAsia="PT Serif"/>
          <w:b w:val="false"/>
          <w:sz w:val="24"/>
        </w:rPr>
      </w:r>
      <w:r/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До 25 августа: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</w:t>
        <w:tab/>
        <w:t xml:space="preserve">организации и ИП, привлекающие работников: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- направляют уведомление для единого налогового платежа о сумме НДФЛ за работников за период с 23.07.2023 по 22.08.2023;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- направляют уведомления для ЕНП о суммах страховых взносов за работников за июль (ОМС, ОПС и ВНиМ).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- сдают в налоговую инспекцию форму «Персонифицированные сведения о физических лицах» за июль;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- если в мае был перевод работника / заявление по ведению трудовой книжки – сдают в Социальный фонд форму «ЕФС-1» со сведениями о трудовой деятельности;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</w:t>
        <w:tab/>
        <w:t xml:space="preserve">организации на ОСН, которые уплачивают налог на прибыль по фактической прибыли, сдают декларацию за июль;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</w:t>
        <w:tab/>
        <w:t xml:space="preserve">организации и ИП, применяющие автоматизированную УСН (эксперимент в 4 регионах), уплачивают налог за июль.</w:t>
      </w:r>
      <w:r>
        <w:rPr>
          <w:rFonts w:ascii="PT Serif" w:hAnsi="PT Serif" w:cs="PT Serif" w:eastAsia="PT Serif"/>
          <w:b w:val="false"/>
          <w:sz w:val="24"/>
        </w:rPr>
      </w:r>
      <w:r/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До 28 августа: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</w:t>
        <w:tab/>
        <w:t xml:space="preserve">самозанятые уплачивают налог на профессиональный доход за июль;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</w:t>
        <w:tab/>
        <w:t xml:space="preserve">организации и ИП, привлекающие работников: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- уплачивают страховые взносы на ОМС, ОПС и ВНиМ за июль;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- уплачивают НДФЛ за работников за период с 23.07.2023 по 22.08.2023;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</w:t>
        <w:tab/>
        <w:t xml:space="preserve">организации и ИП на ОСН и ЕСХН уплачивают 1/3 суммы НДС за II квартал (если не используете освобождение от НДС в связи с маленькой выручкой по п. 1 ст. 145 НК);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</w:t>
        <w:tab/>
        <w:t xml:space="preserve">организации на ОСН уплачивают авансовый платеж по налогу на прибыль (если не используете право на уплату авансов только за кварталы при выручке до 15 млн за квартал).</w:t>
      </w:r>
      <w:r>
        <w:rPr>
          <w:rFonts w:ascii="PT Serif" w:hAnsi="PT Serif" w:cs="PT Serif" w:eastAsia="PT Serif"/>
          <w:b w:val="false"/>
          <w:sz w:val="24"/>
        </w:rPr>
      </w:r>
      <w:r/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Н</w:t>
      </w:r>
      <w:r>
        <w:rPr>
          <w:rFonts w:ascii="PT Serif" w:hAnsi="PT Serif" w:cs="PT Serif" w:eastAsia="PT Serif"/>
          <w:b w:val="false"/>
          <w:sz w:val="24"/>
        </w:rPr>
        <w:t xml:space="preserve">е пропустить даты уплаты налогов и сдачи отчетности поможет сервис «Календарь предпринимателя» на Цифровой платформе МСП.РФ, которая создана и развивается в рамках нацпроекта «Малое и среднее предпринимательство» под кураторством первого вице-премьера Андр</w:t>
      </w:r>
      <w:r>
        <w:rPr>
          <w:rFonts w:ascii="PT Serif" w:hAnsi="PT Serif" w:cs="PT Serif" w:eastAsia="PT Serif"/>
          <w:b w:val="false"/>
          <w:sz w:val="24"/>
        </w:rPr>
        <w:t xml:space="preserve">ея Белоусова. Сервис можно настроить под свой бизнес, и он сам сформирует события в нужные даты и пришлет напоминания об их приближении.</w:t>
      </w:r>
      <w:r>
        <w:rPr>
          <w:rFonts w:ascii="PT Serif" w:hAnsi="PT Serif" w:cs="PT Serif" w:eastAsia="PT Serif"/>
          <w:b w:val="false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1">
    <w:name w:val="Heading 1 Char"/>
    <w:basedOn w:val="627"/>
    <w:link w:val="626"/>
    <w:uiPriority w:val="9"/>
    <w:rPr>
      <w:rFonts w:ascii="Arial" w:hAnsi="Arial" w:cs="Arial" w:eastAsia="Arial"/>
      <w:sz w:val="40"/>
      <w:szCs w:val="40"/>
    </w:rPr>
  </w:style>
  <w:style w:type="paragraph" w:styleId="452">
    <w:name w:val="Heading 2"/>
    <w:basedOn w:val="625"/>
    <w:next w:val="625"/>
    <w:link w:val="4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3">
    <w:name w:val="Heading 2 Char"/>
    <w:basedOn w:val="627"/>
    <w:link w:val="452"/>
    <w:uiPriority w:val="9"/>
    <w:rPr>
      <w:rFonts w:ascii="Arial" w:hAnsi="Arial" w:cs="Arial" w:eastAsia="Arial"/>
      <w:sz w:val="34"/>
    </w:rPr>
  </w:style>
  <w:style w:type="paragraph" w:styleId="454">
    <w:name w:val="Heading 3"/>
    <w:basedOn w:val="625"/>
    <w:next w:val="625"/>
    <w:link w:val="4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5">
    <w:name w:val="Heading 3 Char"/>
    <w:basedOn w:val="627"/>
    <w:link w:val="454"/>
    <w:uiPriority w:val="9"/>
    <w:rPr>
      <w:rFonts w:ascii="Arial" w:hAnsi="Arial" w:cs="Arial" w:eastAsia="Arial"/>
      <w:sz w:val="30"/>
      <w:szCs w:val="30"/>
    </w:rPr>
  </w:style>
  <w:style w:type="paragraph" w:styleId="456">
    <w:name w:val="Heading 4"/>
    <w:basedOn w:val="625"/>
    <w:next w:val="625"/>
    <w:link w:val="4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7">
    <w:name w:val="Heading 4 Char"/>
    <w:basedOn w:val="627"/>
    <w:link w:val="456"/>
    <w:uiPriority w:val="9"/>
    <w:rPr>
      <w:rFonts w:ascii="Arial" w:hAnsi="Arial" w:cs="Arial" w:eastAsia="Arial"/>
      <w:b/>
      <w:bCs/>
      <w:sz w:val="26"/>
      <w:szCs w:val="26"/>
    </w:rPr>
  </w:style>
  <w:style w:type="paragraph" w:styleId="458">
    <w:name w:val="Heading 5"/>
    <w:basedOn w:val="625"/>
    <w:next w:val="625"/>
    <w:link w:val="4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9">
    <w:name w:val="Heading 5 Char"/>
    <w:basedOn w:val="627"/>
    <w:link w:val="458"/>
    <w:uiPriority w:val="9"/>
    <w:rPr>
      <w:rFonts w:ascii="Arial" w:hAnsi="Arial" w:cs="Arial" w:eastAsia="Arial"/>
      <w:b/>
      <w:bCs/>
      <w:sz w:val="24"/>
      <w:szCs w:val="24"/>
    </w:rPr>
  </w:style>
  <w:style w:type="paragraph" w:styleId="460">
    <w:name w:val="Heading 6"/>
    <w:basedOn w:val="625"/>
    <w:next w:val="625"/>
    <w:link w:val="4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1">
    <w:name w:val="Heading 6 Char"/>
    <w:basedOn w:val="627"/>
    <w:link w:val="460"/>
    <w:uiPriority w:val="9"/>
    <w:rPr>
      <w:rFonts w:ascii="Arial" w:hAnsi="Arial" w:cs="Arial" w:eastAsia="Arial"/>
      <w:b/>
      <w:bCs/>
      <w:sz w:val="22"/>
      <w:szCs w:val="22"/>
    </w:rPr>
  </w:style>
  <w:style w:type="paragraph" w:styleId="462">
    <w:name w:val="Heading 7"/>
    <w:basedOn w:val="625"/>
    <w:next w:val="625"/>
    <w:link w:val="4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3">
    <w:name w:val="Heading 7 Char"/>
    <w:basedOn w:val="627"/>
    <w:link w:val="4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4">
    <w:name w:val="Heading 8"/>
    <w:basedOn w:val="625"/>
    <w:next w:val="625"/>
    <w:link w:val="4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5">
    <w:name w:val="Heading 8 Char"/>
    <w:basedOn w:val="627"/>
    <w:link w:val="464"/>
    <w:uiPriority w:val="9"/>
    <w:rPr>
      <w:rFonts w:ascii="Arial" w:hAnsi="Arial" w:cs="Arial" w:eastAsia="Arial"/>
      <w:i/>
      <w:iCs/>
      <w:sz w:val="22"/>
      <w:szCs w:val="22"/>
    </w:rPr>
  </w:style>
  <w:style w:type="paragraph" w:styleId="466">
    <w:name w:val="Heading 9"/>
    <w:basedOn w:val="625"/>
    <w:next w:val="625"/>
    <w:link w:val="4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7">
    <w:name w:val="Heading 9 Char"/>
    <w:basedOn w:val="627"/>
    <w:link w:val="466"/>
    <w:uiPriority w:val="9"/>
    <w:rPr>
      <w:rFonts w:ascii="Arial" w:hAnsi="Arial" w:cs="Arial" w:eastAsia="Arial"/>
      <w:i/>
      <w:iCs/>
      <w:sz w:val="21"/>
      <w:szCs w:val="21"/>
    </w:rPr>
  </w:style>
  <w:style w:type="paragraph" w:styleId="468">
    <w:name w:val="List Paragraph"/>
    <w:basedOn w:val="625"/>
    <w:qFormat/>
    <w:uiPriority w:val="34"/>
    <w:pPr>
      <w:contextualSpacing w:val="true"/>
      <w:ind w:left="720"/>
    </w:pPr>
  </w:style>
  <w:style w:type="paragraph" w:styleId="469">
    <w:name w:val="No Spacing"/>
    <w:qFormat/>
    <w:uiPriority w:val="1"/>
    <w:pPr>
      <w:spacing w:lineRule="auto" w:line="240" w:after="0" w:before="0"/>
    </w:pPr>
  </w:style>
  <w:style w:type="paragraph" w:styleId="470">
    <w:name w:val="Title"/>
    <w:basedOn w:val="625"/>
    <w:next w:val="625"/>
    <w:link w:val="4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1">
    <w:name w:val="Title Char"/>
    <w:basedOn w:val="627"/>
    <w:link w:val="470"/>
    <w:uiPriority w:val="10"/>
    <w:rPr>
      <w:sz w:val="48"/>
      <w:szCs w:val="48"/>
    </w:rPr>
  </w:style>
  <w:style w:type="paragraph" w:styleId="472">
    <w:name w:val="Subtitle"/>
    <w:basedOn w:val="625"/>
    <w:next w:val="625"/>
    <w:link w:val="473"/>
    <w:qFormat/>
    <w:uiPriority w:val="11"/>
    <w:rPr>
      <w:sz w:val="24"/>
      <w:szCs w:val="24"/>
    </w:rPr>
    <w:pPr>
      <w:spacing w:after="200" w:before="200"/>
    </w:pPr>
  </w:style>
  <w:style w:type="character" w:styleId="473">
    <w:name w:val="Subtitle Char"/>
    <w:basedOn w:val="627"/>
    <w:link w:val="472"/>
    <w:uiPriority w:val="11"/>
    <w:rPr>
      <w:sz w:val="24"/>
      <w:szCs w:val="24"/>
    </w:rPr>
  </w:style>
  <w:style w:type="paragraph" w:styleId="474">
    <w:name w:val="Quote"/>
    <w:basedOn w:val="625"/>
    <w:next w:val="625"/>
    <w:link w:val="475"/>
    <w:qFormat/>
    <w:uiPriority w:val="29"/>
    <w:rPr>
      <w:i/>
    </w:rPr>
    <w:pPr>
      <w:ind w:left="720" w:right="720"/>
    </w:pPr>
  </w:style>
  <w:style w:type="character" w:styleId="475">
    <w:name w:val="Quote Char"/>
    <w:link w:val="474"/>
    <w:uiPriority w:val="29"/>
    <w:rPr>
      <w:i/>
    </w:rPr>
  </w:style>
  <w:style w:type="paragraph" w:styleId="476">
    <w:name w:val="Intense Quote"/>
    <w:basedOn w:val="625"/>
    <w:next w:val="625"/>
    <w:link w:val="47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7">
    <w:name w:val="Intense Quote Char"/>
    <w:link w:val="476"/>
    <w:uiPriority w:val="30"/>
    <w:rPr>
      <w:i/>
    </w:rPr>
  </w:style>
  <w:style w:type="paragraph" w:styleId="478">
    <w:name w:val="Header"/>
    <w:basedOn w:val="625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Header Char"/>
    <w:basedOn w:val="627"/>
    <w:link w:val="478"/>
    <w:uiPriority w:val="99"/>
  </w:style>
  <w:style w:type="paragraph" w:styleId="480">
    <w:name w:val="Footer"/>
    <w:basedOn w:val="625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Footer Char"/>
    <w:basedOn w:val="627"/>
    <w:link w:val="480"/>
    <w:uiPriority w:val="99"/>
  </w:style>
  <w:style w:type="paragraph" w:styleId="482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3">
    <w:name w:val="Caption Char"/>
    <w:basedOn w:val="482"/>
    <w:link w:val="480"/>
    <w:uiPriority w:val="99"/>
  </w:style>
  <w:style w:type="table" w:styleId="484">
    <w:name w:val="Table Grid Light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basedOn w:val="6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3">
    <w:name w:val="List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4">
    <w:name w:val="List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5">
    <w:name w:val="List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6">
    <w:name w:val="List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7">
    <w:name w:val="List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8">
    <w:name w:val="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9">
    <w:name w:val="footnote text"/>
    <w:basedOn w:val="625"/>
    <w:link w:val="610"/>
    <w:uiPriority w:val="99"/>
    <w:semiHidden/>
    <w:unhideWhenUsed/>
    <w:rPr>
      <w:sz w:val="18"/>
    </w:rPr>
    <w:pPr>
      <w:spacing w:lineRule="auto" w:line="240" w:after="40"/>
    </w:pPr>
  </w:style>
  <w:style w:type="character" w:styleId="610">
    <w:name w:val="Footnote Text Char"/>
    <w:link w:val="609"/>
    <w:uiPriority w:val="99"/>
    <w:rPr>
      <w:sz w:val="18"/>
    </w:rPr>
  </w:style>
  <w:style w:type="character" w:styleId="611">
    <w:name w:val="footnote reference"/>
    <w:basedOn w:val="627"/>
    <w:uiPriority w:val="99"/>
    <w:unhideWhenUsed/>
    <w:rPr>
      <w:vertAlign w:val="superscript"/>
    </w:rPr>
  </w:style>
  <w:style w:type="paragraph" w:styleId="612">
    <w:name w:val="endnote text"/>
    <w:basedOn w:val="625"/>
    <w:link w:val="613"/>
    <w:uiPriority w:val="99"/>
    <w:semiHidden/>
    <w:unhideWhenUsed/>
    <w:rPr>
      <w:sz w:val="20"/>
    </w:rPr>
    <w:pPr>
      <w:spacing w:lineRule="auto" w:line="240" w:after="0"/>
    </w:pPr>
  </w:style>
  <w:style w:type="character" w:styleId="613">
    <w:name w:val="Endnote Text Char"/>
    <w:link w:val="612"/>
    <w:uiPriority w:val="99"/>
    <w:rPr>
      <w:sz w:val="20"/>
    </w:rPr>
  </w:style>
  <w:style w:type="character" w:styleId="614">
    <w:name w:val="endnote reference"/>
    <w:basedOn w:val="627"/>
    <w:uiPriority w:val="99"/>
    <w:semiHidden/>
    <w:unhideWhenUsed/>
    <w:rPr>
      <w:vertAlign w:val="superscript"/>
    </w:rPr>
  </w:style>
  <w:style w:type="paragraph" w:styleId="615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6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7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8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9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20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1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2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3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4">
    <w:name w:val="TOC Heading"/>
    <w:uiPriority w:val="39"/>
    <w:unhideWhenUsed/>
  </w:style>
  <w:style w:type="paragraph" w:styleId="625" w:default="1">
    <w:name w:val="Normal"/>
    <w:qFormat/>
  </w:style>
  <w:style w:type="paragraph" w:styleId="626">
    <w:name w:val="Heading 1"/>
    <w:basedOn w:val="625"/>
    <w:link w:val="635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Normal (Web)"/>
    <w:basedOn w:val="62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1">
    <w:name w:val="Hyperlink"/>
    <w:basedOn w:val="627"/>
    <w:uiPriority w:val="99"/>
    <w:semiHidden/>
    <w:unhideWhenUsed/>
    <w:rPr>
      <w:color w:val="0000FF"/>
      <w:u w:val="single"/>
    </w:rPr>
  </w:style>
  <w:style w:type="table" w:styleId="632">
    <w:name w:val="Table Grid"/>
    <w:basedOn w:val="628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3">
    <w:name w:val="Balloon Text"/>
    <w:basedOn w:val="625"/>
    <w:link w:val="63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4" w:customStyle="1">
    <w:name w:val="Текст выноски Знак"/>
    <w:basedOn w:val="627"/>
    <w:link w:val="633"/>
    <w:uiPriority w:val="99"/>
    <w:semiHidden/>
    <w:rPr>
      <w:rFonts w:ascii="Segoe UI" w:hAnsi="Segoe UI" w:cs="Segoe UI"/>
      <w:sz w:val="18"/>
      <w:szCs w:val="18"/>
    </w:rPr>
  </w:style>
  <w:style w:type="character" w:styleId="635" w:customStyle="1">
    <w:name w:val="Заголовок 1 Знак"/>
    <w:basedOn w:val="627"/>
    <w:link w:val="62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6">
    <w:name w:val="Strong"/>
    <w:basedOn w:val="627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32</cp:revision>
  <dcterms:created xsi:type="dcterms:W3CDTF">2022-08-03T09:59:00Z</dcterms:created>
  <dcterms:modified xsi:type="dcterms:W3CDTF">2023-08-02T08:06:43Z</dcterms:modified>
</cp:coreProperties>
</file>