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8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PT Serif" w:hAnsi="PT Serif" w:cs="PT Serif" w:eastAsia="PT Serif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Serif" w:hAnsi="PT Serif" w:cs="PT Serif" w:eastAsia="PT Serif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color w:val="000000"/>
                <w:sz w:val="26"/>
                <w:szCs w:val="26"/>
              </w:rPr>
            </w:r>
            <w:r>
              <w:rPr>
                <w:rFonts w:ascii="PT Serif" w:hAnsi="PT Serif" w:cs="PT Serif" w:eastAsia="PT Serif"/>
              </w:rPr>
            </w:r>
            <w:r/>
          </w:p>
          <w:p>
            <w:pPr>
              <w:jc w:val="both"/>
              <w:rPr>
                <w:rFonts w:ascii="PT Serif" w:hAnsi="PT Serif" w:cs="PT Serif" w:eastAsia="PT Serif"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0" w:tooltip="http://www.altsmb.ru" w:history="1">
              <w:r>
                <w:rPr>
                  <w:rStyle w:val="627"/>
                  <w:rFonts w:ascii="PT Serif" w:hAnsi="PT Serif" w:cs="PT Serif" w:eastAsia="PT Serif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7"/>
                  <w:rFonts w:ascii="PT Serif" w:hAnsi="PT Serif" w:cs="PT Serif" w:eastAsia="PT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7"/>
                  <w:rFonts w:ascii="PT Serif" w:hAnsi="PT Serif" w:cs="PT Serif" w:eastAsia="PT Serif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7"/>
                  <w:rFonts w:ascii="PT Serif" w:hAnsi="PT Serif" w:cs="PT Serif" w:eastAsia="PT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7"/>
                  <w:rFonts w:ascii="PT Serif" w:hAnsi="PT Serif" w:cs="PT Serif" w:eastAsia="PT Serif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Serif" w:hAnsi="PT Serif" w:cs="PT Serif" w:eastAsia="PT Serif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Serif" w:hAnsi="PT Serif" w:cs="PT Serif" w:eastAsia="PT Serif"/>
              </w:rPr>
            </w:r>
            <w:r/>
          </w:p>
          <w:p>
            <w:pPr>
              <w:jc w:val="both"/>
              <w:rPr>
                <w:rFonts w:ascii="PT Serif" w:hAnsi="PT Serif" w:cs="PT Serif" w:eastAsia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b/>
                <w:color w:val="000000"/>
                <w:sz w:val="26"/>
                <w:szCs w:val="26"/>
              </w:rPr>
            </w:r>
            <w:r>
              <w:rPr>
                <w:rFonts w:ascii="PT Serif" w:hAnsi="PT Serif" w:cs="PT Serif" w:eastAsia="PT Serif"/>
              </w:rPr>
            </w:r>
            <w:r/>
          </w:p>
        </w:tc>
      </w:tr>
    </w:tbl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b/>
        </w:rPr>
      </w:pPr>
      <w:r>
        <w:rPr>
          <w:rFonts w:ascii="PT Serif" w:hAnsi="PT Serif" w:cs="PT Serif" w:eastAsia="PT Serif"/>
          <w:b/>
          <w:sz w:val="26"/>
        </w:rPr>
        <w:t xml:space="preserve">Столица Алтайского края вошла в число лучших городов России для  ведения бизнеса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Forbes опубликовал на своем сайте результаты исследования под названием "30 лучших городов для бизнеса — 2023". </w:t>
      </w:r>
      <w:r>
        <w:rPr>
          <w:rFonts w:ascii="PT Serif" w:hAnsi="PT Serif" w:cs="PT Serif" w:eastAsia="PT Serif"/>
          <w:sz w:val="26"/>
        </w:rPr>
        <w:t xml:space="preserve">В этот рейтинг попала и столица Алтайского края. Эксперты издания поставили его на 21 позицию.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</w:rPr>
        <w:t xml:space="preserve">Согласно методологии из более 1100 городов страны были отобраны 90 городов,</w:t>
      </w:r>
      <w:r>
        <w:rPr>
          <w:rFonts w:ascii="PT Serif" w:hAnsi="PT Serif" w:cs="PT Serif" w:eastAsia="PT Serif"/>
          <w:sz w:val="26"/>
        </w:rPr>
        <w:t xml:space="preserve"> с наибольшим числом жителей, субъектов малого и среднего бизнеса на душу населения и соотношением средней заработной платы к прожиточному минимуму. </w:t>
      </w:r>
      <w:r/>
    </w:p>
    <w:p>
      <w:pPr>
        <w:jc w:val="both"/>
      </w:pPr>
      <w:r>
        <w:rPr>
          <w:rFonts w:ascii="PT Serif" w:hAnsi="PT Serif" w:cs="PT Serif" w:eastAsia="PT Serif"/>
          <w:sz w:val="26"/>
          <w:highlight w:val="none"/>
        </w:rPr>
        <w:t xml:space="preserve">Города сравнивали по шести метрикам (внутри каждой несколько параметров). Наибольший вес, 50%, у метрики "Малый и средний бизнес", поскольку его наличие в городе указывает, что там есть подходящая среда для предпринимательской деятельности</w:t>
      </w:r>
      <w:r>
        <w:rPr>
          <w:rFonts w:ascii="PT Serif" w:hAnsi="PT Serif" w:cs="PT Serif" w:eastAsia="PT Serif"/>
          <w:sz w:val="26"/>
          <w:highlight w:val="none"/>
        </w:rPr>
        <w:t xml:space="preserve">. Также учитывались "Демография и жилье" (13%), "Доходы" (13%), "Кадры" (8%), "Инвестиции и инфраструктура" (8%) и "Качество жизни" (8%). При подсчетах были использованы данные и опросы АСИ, РСПП, ТПП, "Деловой России", "Опоры России", порталов "Платфор</w:t>
      </w:r>
      <w:r>
        <w:rPr>
          <w:rFonts w:ascii="PT Serif" w:hAnsi="PT Serif" w:cs="PT Serif" w:eastAsia="PT Serif"/>
          <w:sz w:val="26"/>
          <w:highlight w:val="none"/>
        </w:rPr>
        <w:t xml:space="preserve">ма ОФД", Headhunter и Индекса качества городской среды. </w:t>
      </w:r>
      <w:r>
        <w:rPr>
          <w:rFonts w:ascii="PT Serif" w:hAnsi="PT Serif" w:cs="PT Serif" w:eastAsia="PT Serif"/>
          <w:sz w:val="26"/>
          <w:highlight w:val="none"/>
        </w:rPr>
        <w:t xml:space="preserve">В издании отметили, что задачей рейтинга было показать регионы и охватить всю Россию.</w:t>
      </w:r>
      <w:r/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  <w:highlight w:val="none"/>
        </w:rPr>
      </w:r>
      <w:r>
        <w:rPr>
          <w:rFonts w:ascii="PT Serif" w:hAnsi="PT Serif" w:cs="PT Serif" w:eastAsia="PT Serif"/>
          <w:sz w:val="26"/>
          <w:highlight w:val="none"/>
        </w:rPr>
        <w:t xml:space="preserve">К</w:t>
      </w:r>
      <w:r>
        <w:rPr>
          <w:rFonts w:ascii="PT Serif" w:hAnsi="PT Serif" w:cs="PT Serif" w:eastAsia="PT Serif"/>
          <w:sz w:val="26"/>
          <w:highlight w:val="none"/>
        </w:rPr>
        <w:t xml:space="preserve">роме того, в рейтинге представлена информация о крупнейших предпринимателях каждого города, интересные факты, выделяющие данный населенный пункт, и «цифры» — площадь, запланированные инвестиции в развитие территории, количество выпускников и многое другое.</w:t>
      </w:r>
      <w:r>
        <w:rPr>
          <w:rFonts w:ascii="PT Serif" w:hAnsi="PT Serif" w:cs="PT Serif" w:eastAsia="PT Serif"/>
          <w:sz w:val="26"/>
          <w:highlight w:val="none"/>
        </w:rPr>
      </w:r>
      <w:r/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  <w:highlight w:val="none"/>
        </w:rPr>
        <w:t xml:space="preserve">Положительное влияние на состояние предпринимательского климата в регионе оказывают меры господдержки, реализуемые в рамках национального проекта «Малое и среднее предпринимательство».</w:t>
      </w:r>
      <w:r>
        <w:rPr>
          <w:rFonts w:ascii="PT Serif" w:hAnsi="PT Serif" w:cs="PT Serif" w:eastAsia="PT Serif"/>
          <w:sz w:val="26"/>
          <w:highlight w:val="none"/>
        </w:rPr>
      </w:r>
      <w:r/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  <w:highlight w:val="none"/>
        </w:rPr>
      </w:r>
      <w:r>
        <w:rPr>
          <w:rFonts w:ascii="PT Serif" w:hAnsi="PT Serif" w:cs="PT Serif" w:eastAsia="PT Serif"/>
          <w:sz w:val="26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7">
    <w:name w:val="Heading 1 Char"/>
    <w:basedOn w:val="623"/>
    <w:link w:val="622"/>
    <w:uiPriority w:val="9"/>
    <w:rPr>
      <w:rFonts w:ascii="Arial" w:hAnsi="Arial" w:cs="Arial" w:eastAsia="Arial"/>
      <w:sz w:val="40"/>
      <w:szCs w:val="40"/>
    </w:rPr>
  </w:style>
  <w:style w:type="paragraph" w:styleId="448">
    <w:name w:val="Heading 2"/>
    <w:basedOn w:val="621"/>
    <w:next w:val="621"/>
    <w:link w:val="44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49">
    <w:name w:val="Heading 2 Char"/>
    <w:basedOn w:val="623"/>
    <w:link w:val="448"/>
    <w:uiPriority w:val="9"/>
    <w:rPr>
      <w:rFonts w:ascii="Arial" w:hAnsi="Arial" w:cs="Arial" w:eastAsia="Arial"/>
      <w:sz w:val="34"/>
    </w:rPr>
  </w:style>
  <w:style w:type="paragraph" w:styleId="450">
    <w:name w:val="Heading 3"/>
    <w:basedOn w:val="621"/>
    <w:next w:val="621"/>
    <w:link w:val="45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1">
    <w:name w:val="Heading 3 Char"/>
    <w:basedOn w:val="623"/>
    <w:link w:val="450"/>
    <w:uiPriority w:val="9"/>
    <w:rPr>
      <w:rFonts w:ascii="Arial" w:hAnsi="Arial" w:cs="Arial" w:eastAsia="Arial"/>
      <w:sz w:val="30"/>
      <w:szCs w:val="30"/>
    </w:rPr>
  </w:style>
  <w:style w:type="paragraph" w:styleId="452">
    <w:name w:val="Heading 4"/>
    <w:basedOn w:val="621"/>
    <w:next w:val="621"/>
    <w:link w:val="45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3">
    <w:name w:val="Heading 4 Char"/>
    <w:basedOn w:val="623"/>
    <w:link w:val="452"/>
    <w:uiPriority w:val="9"/>
    <w:rPr>
      <w:rFonts w:ascii="Arial" w:hAnsi="Arial" w:cs="Arial" w:eastAsia="Arial"/>
      <w:b/>
      <w:bCs/>
      <w:sz w:val="26"/>
      <w:szCs w:val="26"/>
    </w:rPr>
  </w:style>
  <w:style w:type="paragraph" w:styleId="454">
    <w:name w:val="Heading 5"/>
    <w:basedOn w:val="621"/>
    <w:next w:val="621"/>
    <w:link w:val="45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5">
    <w:name w:val="Heading 5 Char"/>
    <w:basedOn w:val="623"/>
    <w:link w:val="454"/>
    <w:uiPriority w:val="9"/>
    <w:rPr>
      <w:rFonts w:ascii="Arial" w:hAnsi="Arial" w:cs="Arial" w:eastAsia="Arial"/>
      <w:b/>
      <w:bCs/>
      <w:sz w:val="24"/>
      <w:szCs w:val="24"/>
    </w:rPr>
  </w:style>
  <w:style w:type="paragraph" w:styleId="456">
    <w:name w:val="Heading 6"/>
    <w:basedOn w:val="621"/>
    <w:next w:val="621"/>
    <w:link w:val="45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7">
    <w:name w:val="Heading 6 Char"/>
    <w:basedOn w:val="623"/>
    <w:link w:val="456"/>
    <w:uiPriority w:val="9"/>
    <w:rPr>
      <w:rFonts w:ascii="Arial" w:hAnsi="Arial" w:cs="Arial" w:eastAsia="Arial"/>
      <w:b/>
      <w:bCs/>
      <w:sz w:val="22"/>
      <w:szCs w:val="22"/>
    </w:rPr>
  </w:style>
  <w:style w:type="paragraph" w:styleId="458">
    <w:name w:val="Heading 7"/>
    <w:basedOn w:val="621"/>
    <w:next w:val="621"/>
    <w:link w:val="45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59">
    <w:name w:val="Heading 7 Char"/>
    <w:basedOn w:val="623"/>
    <w:link w:val="4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0">
    <w:name w:val="Heading 8"/>
    <w:basedOn w:val="621"/>
    <w:next w:val="621"/>
    <w:link w:val="46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1">
    <w:name w:val="Heading 8 Char"/>
    <w:basedOn w:val="623"/>
    <w:link w:val="460"/>
    <w:uiPriority w:val="9"/>
    <w:rPr>
      <w:rFonts w:ascii="Arial" w:hAnsi="Arial" w:cs="Arial" w:eastAsia="Arial"/>
      <w:i/>
      <w:iCs/>
      <w:sz w:val="22"/>
      <w:szCs w:val="22"/>
    </w:rPr>
  </w:style>
  <w:style w:type="paragraph" w:styleId="462">
    <w:name w:val="Heading 9"/>
    <w:basedOn w:val="621"/>
    <w:next w:val="621"/>
    <w:link w:val="46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3">
    <w:name w:val="Heading 9 Char"/>
    <w:basedOn w:val="623"/>
    <w:link w:val="462"/>
    <w:uiPriority w:val="9"/>
    <w:rPr>
      <w:rFonts w:ascii="Arial" w:hAnsi="Arial" w:cs="Arial" w:eastAsia="Arial"/>
      <w:i/>
      <w:iCs/>
      <w:sz w:val="21"/>
      <w:szCs w:val="21"/>
    </w:rPr>
  </w:style>
  <w:style w:type="paragraph" w:styleId="464">
    <w:name w:val="List Paragraph"/>
    <w:basedOn w:val="621"/>
    <w:qFormat/>
    <w:uiPriority w:val="34"/>
    <w:pPr>
      <w:contextualSpacing w:val="true"/>
      <w:ind w:left="720"/>
    </w:pPr>
  </w:style>
  <w:style w:type="paragraph" w:styleId="465">
    <w:name w:val="No Spacing"/>
    <w:qFormat/>
    <w:uiPriority w:val="1"/>
    <w:pPr>
      <w:spacing w:lineRule="auto" w:line="240" w:after="0" w:before="0"/>
    </w:pPr>
  </w:style>
  <w:style w:type="paragraph" w:styleId="466">
    <w:name w:val="Title"/>
    <w:basedOn w:val="621"/>
    <w:next w:val="621"/>
    <w:link w:val="46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7">
    <w:name w:val="Title Char"/>
    <w:basedOn w:val="623"/>
    <w:link w:val="466"/>
    <w:uiPriority w:val="10"/>
    <w:rPr>
      <w:sz w:val="48"/>
      <w:szCs w:val="48"/>
    </w:rPr>
  </w:style>
  <w:style w:type="paragraph" w:styleId="468">
    <w:name w:val="Subtitle"/>
    <w:basedOn w:val="621"/>
    <w:next w:val="621"/>
    <w:link w:val="469"/>
    <w:qFormat/>
    <w:uiPriority w:val="11"/>
    <w:rPr>
      <w:sz w:val="24"/>
      <w:szCs w:val="24"/>
    </w:rPr>
    <w:pPr>
      <w:spacing w:after="200" w:before="200"/>
    </w:pPr>
  </w:style>
  <w:style w:type="character" w:styleId="469">
    <w:name w:val="Subtitle Char"/>
    <w:basedOn w:val="623"/>
    <w:link w:val="468"/>
    <w:uiPriority w:val="11"/>
    <w:rPr>
      <w:sz w:val="24"/>
      <w:szCs w:val="24"/>
    </w:rPr>
  </w:style>
  <w:style w:type="paragraph" w:styleId="470">
    <w:name w:val="Quote"/>
    <w:basedOn w:val="621"/>
    <w:next w:val="621"/>
    <w:link w:val="471"/>
    <w:qFormat/>
    <w:uiPriority w:val="29"/>
    <w:rPr>
      <w:i/>
    </w:rPr>
    <w:pPr>
      <w:ind w:left="720" w:right="720"/>
    </w:pPr>
  </w:style>
  <w:style w:type="character" w:styleId="471">
    <w:name w:val="Quote Char"/>
    <w:link w:val="470"/>
    <w:uiPriority w:val="29"/>
    <w:rPr>
      <w:i/>
    </w:rPr>
  </w:style>
  <w:style w:type="paragraph" w:styleId="472">
    <w:name w:val="Intense Quote"/>
    <w:basedOn w:val="621"/>
    <w:next w:val="621"/>
    <w:link w:val="47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3">
    <w:name w:val="Intense Quote Char"/>
    <w:link w:val="472"/>
    <w:uiPriority w:val="30"/>
    <w:rPr>
      <w:i/>
    </w:rPr>
  </w:style>
  <w:style w:type="paragraph" w:styleId="474">
    <w:name w:val="Header"/>
    <w:basedOn w:val="621"/>
    <w:link w:val="47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5">
    <w:name w:val="Header Char"/>
    <w:basedOn w:val="623"/>
    <w:link w:val="474"/>
    <w:uiPriority w:val="99"/>
  </w:style>
  <w:style w:type="paragraph" w:styleId="476">
    <w:name w:val="Footer"/>
    <w:basedOn w:val="621"/>
    <w:link w:val="4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Footer Char"/>
    <w:basedOn w:val="623"/>
    <w:link w:val="476"/>
    <w:uiPriority w:val="99"/>
  </w:style>
  <w:style w:type="paragraph" w:styleId="478">
    <w:name w:val="Caption"/>
    <w:basedOn w:val="621"/>
    <w:next w:val="62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9">
    <w:name w:val="Caption Char"/>
    <w:basedOn w:val="478"/>
    <w:link w:val="476"/>
    <w:uiPriority w:val="99"/>
  </w:style>
  <w:style w:type="table" w:styleId="480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1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2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4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6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8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9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0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1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2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3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4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5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6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8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1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2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3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4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5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6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7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3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4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5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6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7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8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9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1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2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3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4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5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6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7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8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9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0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1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2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3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4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5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6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7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8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9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0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1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2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3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4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5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6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7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8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9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0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1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2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3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4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5">
    <w:name w:val="footnote text"/>
    <w:basedOn w:val="621"/>
    <w:link w:val="606"/>
    <w:uiPriority w:val="99"/>
    <w:semiHidden/>
    <w:unhideWhenUsed/>
    <w:rPr>
      <w:sz w:val="18"/>
    </w:rPr>
    <w:pPr>
      <w:spacing w:lineRule="auto" w:line="240" w:after="40"/>
    </w:pPr>
  </w:style>
  <w:style w:type="character" w:styleId="606">
    <w:name w:val="Footnote Text Char"/>
    <w:link w:val="605"/>
    <w:uiPriority w:val="99"/>
    <w:rPr>
      <w:sz w:val="18"/>
    </w:rPr>
  </w:style>
  <w:style w:type="character" w:styleId="607">
    <w:name w:val="footnote reference"/>
    <w:basedOn w:val="623"/>
    <w:uiPriority w:val="99"/>
    <w:unhideWhenUsed/>
    <w:rPr>
      <w:vertAlign w:val="superscript"/>
    </w:rPr>
  </w:style>
  <w:style w:type="paragraph" w:styleId="608">
    <w:name w:val="endnote text"/>
    <w:basedOn w:val="621"/>
    <w:link w:val="609"/>
    <w:uiPriority w:val="99"/>
    <w:semiHidden/>
    <w:unhideWhenUsed/>
    <w:rPr>
      <w:sz w:val="20"/>
    </w:rPr>
    <w:pPr>
      <w:spacing w:lineRule="auto" w:line="240" w:after="0"/>
    </w:pPr>
  </w:style>
  <w:style w:type="character" w:styleId="609">
    <w:name w:val="Endnote Text Char"/>
    <w:link w:val="608"/>
    <w:uiPriority w:val="99"/>
    <w:rPr>
      <w:sz w:val="20"/>
    </w:rPr>
  </w:style>
  <w:style w:type="character" w:styleId="610">
    <w:name w:val="endnote reference"/>
    <w:basedOn w:val="623"/>
    <w:uiPriority w:val="99"/>
    <w:semiHidden/>
    <w:unhideWhenUsed/>
    <w:rPr>
      <w:vertAlign w:val="superscript"/>
    </w:rPr>
  </w:style>
  <w:style w:type="paragraph" w:styleId="61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61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61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61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61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61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61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61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61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620">
    <w:name w:val="TOC Heading"/>
    <w:uiPriority w:val="39"/>
    <w:unhideWhenUsed/>
  </w:style>
  <w:style w:type="paragraph" w:styleId="621" w:default="1">
    <w:name w:val="Normal"/>
    <w:qFormat/>
  </w:style>
  <w:style w:type="paragraph" w:styleId="622">
    <w:name w:val="Heading 1"/>
    <w:basedOn w:val="621"/>
    <w:link w:val="631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paragraph" w:styleId="626">
    <w:name w:val="Normal (Web)"/>
    <w:basedOn w:val="621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7">
    <w:name w:val="Hyperlink"/>
    <w:basedOn w:val="623"/>
    <w:uiPriority w:val="99"/>
    <w:unhideWhenUsed/>
    <w:rPr>
      <w:color w:val="0000FF"/>
      <w:u w:val="single"/>
    </w:rPr>
  </w:style>
  <w:style w:type="table" w:styleId="628">
    <w:name w:val="Table Grid"/>
    <w:basedOn w:val="624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29">
    <w:name w:val="Balloon Text"/>
    <w:basedOn w:val="621"/>
    <w:link w:val="630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0" w:customStyle="1">
    <w:name w:val="Текст выноски Знак"/>
    <w:basedOn w:val="623"/>
    <w:link w:val="629"/>
    <w:uiPriority w:val="99"/>
    <w:semiHidden/>
    <w:rPr>
      <w:rFonts w:ascii="Segoe UI" w:hAnsi="Segoe UI" w:cs="Segoe UI"/>
      <w:sz w:val="18"/>
      <w:szCs w:val="18"/>
    </w:rPr>
  </w:style>
  <w:style w:type="character" w:styleId="631" w:customStyle="1">
    <w:name w:val="Заголовок 1 Знак"/>
    <w:basedOn w:val="623"/>
    <w:link w:val="622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2">
    <w:name w:val="Strong"/>
    <w:basedOn w:val="623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14</cp:revision>
  <dcterms:created xsi:type="dcterms:W3CDTF">2023-02-20T08:28:00Z</dcterms:created>
  <dcterms:modified xsi:type="dcterms:W3CDTF">2023-10-09T03:25:44Z</dcterms:modified>
</cp:coreProperties>
</file>