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34"/>
        <w:tblW w:w="935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1" w:tooltip="http://www.altsmb.ru" w:history="1">
              <w:r>
                <w:rPr>
                  <w:rStyle w:val="63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www</w:t>
              </w:r>
              <w:r>
                <w:rPr>
                  <w:rStyle w:val="63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.</w:t>
              </w:r>
              <w:r>
                <w:rPr>
                  <w:rStyle w:val="63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altsmb</w:t>
              </w:r>
              <w:r>
                <w:rPr>
                  <w:rStyle w:val="63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.</w:t>
              </w:r>
              <w:r>
                <w:rPr>
                  <w:rStyle w:val="63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(385-2) 242467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/>
          </w:p>
        </w:tc>
      </w:tr>
    </w:tbl>
    <w:p>
      <w:pPr>
        <w:jc w:val="both"/>
        <w:rPr>
          <w:rFonts w:ascii="PT Serif" w:hAnsi="PT Serif" w:cs="PT Serif" w:eastAsia="PT Serif"/>
          <w:b w:val="false"/>
          <w:sz w:val="24"/>
        </w:rPr>
      </w:pPr>
      <w:r>
        <w:rPr>
          <w:rFonts w:ascii="PT Serif" w:hAnsi="PT Serif" w:cs="PT Serif" w:eastAsia="PT Serif"/>
          <w:b w:val="false"/>
          <w:sz w:val="24"/>
        </w:rPr>
      </w:r>
      <w:r/>
    </w:p>
    <w:p>
      <w:pPr>
        <w:jc w:val="both"/>
        <w:rPr>
          <w:rFonts w:ascii="PT Serif" w:hAnsi="PT Serif" w:cs="PT Serif" w:eastAsia="PT Serif"/>
          <w:b/>
          <w:sz w:val="24"/>
        </w:rPr>
      </w:pPr>
      <w:r>
        <w:rPr>
          <w:rFonts w:ascii="PT Serif" w:hAnsi="PT Serif" w:cs="PT Serif" w:eastAsia="PT Serif"/>
          <w:b/>
          <w:sz w:val="24"/>
        </w:rPr>
        <w:t xml:space="preserve">Фонд Финансирования предпринимательства снижает ставки </w:t>
      </w:r>
      <w:r>
        <w:rPr>
          <w:rFonts w:ascii="PT Serif" w:hAnsi="PT Serif" w:cs="PT Serif" w:eastAsia="PT Serif"/>
          <w:b w:val="false"/>
          <w:sz w:val="24"/>
        </w:rPr>
      </w:r>
      <w:r/>
    </w:p>
    <w:p>
      <w:pPr>
        <w:jc w:val="both"/>
        <w:rPr>
          <w:rFonts w:ascii="PT Serif" w:hAnsi="PT Serif" w:cs="PT Serif" w:eastAsia="PT Serif"/>
          <w:b w:val="false"/>
          <w:sz w:val="24"/>
        </w:rPr>
      </w:pPr>
      <w:r>
        <w:rPr>
          <w:rFonts w:ascii="PT Serif" w:hAnsi="PT Serif" w:cs="PT Serif" w:eastAsia="PT Serif"/>
          <w:b w:val="false"/>
          <w:sz w:val="24"/>
        </w:rPr>
        <w:t xml:space="preserve">По поручению Губернатора Алтайского края Виктора Томенко в микрокредитной организации проработали вопрос снижения ключевой ставки по займам.</w:t>
      </w:r>
      <w:r>
        <w:rPr>
          <w:rFonts w:ascii="PT Serif" w:hAnsi="PT Serif" w:cs="PT Serif" w:eastAsia="PT Serif"/>
          <w:b w:val="false"/>
          <w:sz w:val="24"/>
        </w:rPr>
      </w:r>
      <w:r/>
    </w:p>
    <w:p>
      <w:pPr>
        <w:jc w:val="both"/>
      </w:pPr>
      <w:r>
        <w:rPr>
          <w:rFonts w:ascii="PT Serif" w:hAnsi="PT Serif" w:cs="PT Serif" w:eastAsia="PT Serif"/>
          <w:b w:val="false"/>
          <w:sz w:val="24"/>
        </w:rPr>
      </w:r>
      <w:r>
        <w:rPr>
          <w:rFonts w:ascii="PT Serif" w:hAnsi="PT Serif" w:cs="PT Serif" w:eastAsia="PT Serif"/>
          <w:b w:val="false"/>
          <w:sz w:val="24"/>
        </w:rPr>
        <w:t xml:space="preserve">До недавнего времени размер ставки дл</w:t>
      </w:r>
      <w:r>
        <w:rPr>
          <w:rFonts w:ascii="PT Serif" w:hAnsi="PT Serif" w:cs="PT Serif" w:eastAsia="PT Serif"/>
          <w:b w:val="false"/>
          <w:sz w:val="24"/>
        </w:rPr>
        <w:t xml:space="preserve">я основной категории заемщиков зависел от ключевой ставки Банка России. </w:t>
      </w:r>
      <w:r>
        <w:rPr>
          <w:rFonts w:ascii="PT Serif" w:hAnsi="PT Serif" w:cs="PT Serif" w:eastAsia="PT Serif"/>
          <w:b w:val="false"/>
          <w:sz w:val="24"/>
        </w:rPr>
        <w:t xml:space="preserve">Для повышения доступности заемных средств субъектам МСП региона </w:t>
      </w:r>
      <w:r>
        <w:rPr>
          <w:rFonts w:ascii="PT Serif" w:hAnsi="PT Serif" w:cs="PT Serif" w:eastAsia="PT Serif"/>
          <w:b w:val="false"/>
          <w:sz w:val="24"/>
        </w:rPr>
        <w:t xml:space="preserve">на заседании Совета некоммерческой микрокредитной компании «Алтайский фонд финансирования предпринимательства» было принято решение, что </w:t>
      </w:r>
      <w:r>
        <w:rPr>
          <w:rFonts w:ascii="PT Serif" w:hAnsi="PT Serif" w:cs="PT Serif" w:eastAsia="PT Serif"/>
          <w:b w:val="false"/>
          <w:sz w:val="24"/>
        </w:rPr>
        <w:t xml:space="preserve">максимальный размер ставки будет зафиксирован на уровне 7</w:t>
      </w:r>
      <w:r>
        <w:rPr>
          <w:rFonts w:ascii="PT Serif" w:hAnsi="PT Serif" w:cs="PT Serif" w:eastAsia="PT Serif"/>
          <w:b w:val="false"/>
          <w:sz w:val="24"/>
        </w:rPr>
        <w:t xml:space="preserve">% годовых. </w:t>
      </w:r>
      <w:r>
        <w:rPr>
          <w:rFonts w:ascii="PT Serif" w:hAnsi="PT Serif" w:cs="PT Serif" w:eastAsia="PT Serif"/>
          <w:b w:val="false"/>
          <w:sz w:val="24"/>
        </w:rPr>
      </w:r>
      <w:r/>
    </w:p>
    <w:p>
      <w:pPr>
        <w:jc w:val="both"/>
      </w:pPr>
      <w:r>
        <w:rPr>
          <w:rFonts w:ascii="PT Serif" w:hAnsi="PT Serif" w:cs="PT Serif" w:eastAsia="PT Serif"/>
          <w:b w:val="false"/>
          <w:sz w:val="24"/>
        </w:rPr>
        <w:t xml:space="preserve">Ежегодно порядка 1 млрд. рублей заемных средств микрокредитной компании направляют на развитие или орга</w:t>
      </w:r>
      <w:r>
        <w:rPr>
          <w:rFonts w:ascii="PT Serif" w:hAnsi="PT Serif" w:cs="PT Serif" w:eastAsia="PT Serif"/>
          <w:b w:val="false"/>
          <w:sz w:val="24"/>
        </w:rPr>
        <w:t xml:space="preserve">низацию своего бизнеса предприниматели или самозанятые граждане края. </w:t>
      </w:r>
      <w:r/>
      <w:r>
        <w:rPr>
          <w:rFonts w:ascii="PT Serif" w:hAnsi="PT Serif" w:cs="PT Serif" w:eastAsia="PT Serif"/>
          <w:b w:val="false"/>
          <w:sz w:val="24"/>
        </w:rPr>
        <w:t xml:space="preserve">Принятые решения коснулись и тех, кто только начинает свой путь в бизнесе. Для них в Фонде Финансирования действует специальная программа, в которую также решением совета Фонда внесены изменения. Теперь по программе «Комфортный старт» займы до 3 млн. рубле</w:t>
      </w:r>
      <w:r>
        <w:rPr>
          <w:rFonts w:ascii="PT Serif" w:hAnsi="PT Serif" w:cs="PT Serif" w:eastAsia="PT Serif"/>
          <w:b w:val="false"/>
          <w:sz w:val="24"/>
        </w:rPr>
        <w:t xml:space="preserve">й под 1 % годовых могут получить и те предприниматели, срок регистрации которых составляет не более 2 лет. Ранее предприниматели сроком регистрации до 1 года могли воспользоваться такими льготными условиями. Условие проц</w:t>
      </w:r>
      <w:r>
        <w:rPr>
          <w:rFonts w:ascii="PT Serif" w:hAnsi="PT Serif" w:cs="PT Serif" w:eastAsia="PT Serif"/>
          <w:b w:val="false"/>
          <w:sz w:val="24"/>
        </w:rPr>
        <w:t xml:space="preserve">ентной ставки для таких заемщиков срочное и действует до 1 ноября текущего года.</w:t>
      </w:r>
      <w:r>
        <w:rPr>
          <w:rFonts w:ascii="PT Serif" w:hAnsi="PT Serif" w:cs="PT Serif" w:eastAsia="PT Serif"/>
          <w:b w:val="false"/>
          <w:sz w:val="24"/>
        </w:rPr>
      </w:r>
      <w:r/>
    </w:p>
    <w:p>
      <w:pPr>
        <w:jc w:val="both"/>
      </w:pPr>
      <w:r>
        <w:rPr>
          <w:rFonts w:ascii="PT Serif" w:hAnsi="PT Serif" w:cs="PT Serif" w:eastAsia="PT Serif"/>
          <w:b w:val="false"/>
          <w:sz w:val="24"/>
        </w:rPr>
        <w:t xml:space="preserve">В Фонде продолжают действовать и другие льготные программы:</w:t>
      </w:r>
      <w:r>
        <w:rPr>
          <w:rFonts w:ascii="PT Serif" w:hAnsi="PT Serif" w:cs="PT Serif" w:eastAsia="PT Serif"/>
          <w:b w:val="false"/>
          <w:sz w:val="24"/>
        </w:rPr>
      </w:r>
      <w:r/>
    </w:p>
    <w:p>
      <w:pPr>
        <w:pStyle w:val="470"/>
        <w:numPr>
          <w:ilvl w:val="0"/>
          <w:numId w:val="3"/>
        </w:numPr>
        <w:jc w:val="both"/>
      </w:pPr>
      <w:r>
        <w:rPr>
          <w:rFonts w:ascii="PT Serif" w:hAnsi="PT Serif" w:cs="PT Serif" w:eastAsia="PT Serif"/>
          <w:b w:val="false"/>
          <w:sz w:val="24"/>
        </w:rPr>
        <w:t xml:space="preserve">под 3,5% годовых можно получить заем на реализацию инвестиционных проектов (одно из условий его получения - создание дополнительных рабочих мест);</w:t>
      </w:r>
      <w:r>
        <w:rPr>
          <w:rFonts w:ascii="PT Serif" w:hAnsi="PT Serif" w:cs="PT Serif" w:eastAsia="PT Serif"/>
          <w:b w:val="false"/>
          <w:sz w:val="24"/>
        </w:rPr>
      </w:r>
      <w:r/>
    </w:p>
    <w:p>
      <w:pPr>
        <w:pStyle w:val="470"/>
        <w:numPr>
          <w:ilvl w:val="0"/>
          <w:numId w:val="3"/>
        </w:numPr>
        <w:jc w:val="both"/>
      </w:pPr>
      <w:r>
        <w:rPr>
          <w:rFonts w:ascii="PT Serif" w:hAnsi="PT Serif" w:cs="PT Serif" w:eastAsia="PT Serif"/>
          <w:b w:val="false"/>
          <w:sz w:val="24"/>
        </w:rPr>
        <w:t xml:space="preserve">если реал</w:t>
      </w:r>
      <w:r>
        <w:rPr>
          <w:rFonts w:ascii="PT Serif" w:hAnsi="PT Serif" w:cs="PT Serif" w:eastAsia="PT Serif"/>
          <w:b w:val="false"/>
          <w:sz w:val="24"/>
        </w:rPr>
        <w:t xml:space="preserve">изуются приоритетные проекты, то ставка по таким займам составит от 3,75 до 4,75% (женское и молодежное предпринимательство, экспортная деятельность, компании, работающие в сфере туризма, экологии и спорта, деятельность сельскохозяйственных производственны</w:t>
      </w:r>
      <w:r>
        <w:rPr>
          <w:rFonts w:ascii="PT Serif" w:hAnsi="PT Serif" w:cs="PT Serif" w:eastAsia="PT Serif"/>
          <w:b w:val="false"/>
          <w:sz w:val="24"/>
        </w:rPr>
        <w:t xml:space="preserve">х и потребительских кооперативов);</w:t>
      </w:r>
      <w:r>
        <w:rPr>
          <w:rFonts w:ascii="PT Serif" w:hAnsi="PT Serif" w:cs="PT Serif" w:eastAsia="PT Serif"/>
          <w:b w:val="false"/>
          <w:sz w:val="24"/>
        </w:rPr>
      </w:r>
      <w:r/>
    </w:p>
    <w:p>
      <w:pPr>
        <w:pStyle w:val="470"/>
        <w:numPr>
          <w:ilvl w:val="0"/>
          <w:numId w:val="3"/>
        </w:numPr>
        <w:jc w:val="both"/>
      </w:pPr>
      <w:r>
        <w:rPr>
          <w:rFonts w:ascii="PT Serif" w:hAnsi="PT Serif" w:cs="PT Serif" w:eastAsia="PT Serif"/>
          <w:b w:val="false"/>
          <w:sz w:val="24"/>
        </w:rPr>
        <w:t xml:space="preserve">для льготных к</w:t>
      </w:r>
      <w:r>
        <w:rPr>
          <w:rFonts w:ascii="PT Serif" w:hAnsi="PT Serif" w:cs="PT Serif" w:eastAsia="PT Serif"/>
          <w:b w:val="false"/>
          <w:sz w:val="24"/>
        </w:rPr>
        <w:t xml:space="preserve">атегорий ставки составляют от 2 до 4,75% (это субъекты МСП, приобретающие и устанавливающие охранно-пожарную сигнализацию, оборудование для маркировки готовой продукции, предприятия торговли в сельской местности, а также предприниматели, развивающие телеко</w:t>
      </w:r>
      <w:r>
        <w:rPr>
          <w:rFonts w:ascii="PT Serif" w:hAnsi="PT Serif" w:cs="PT Serif" w:eastAsia="PT Serif"/>
          <w:b w:val="false"/>
          <w:sz w:val="24"/>
        </w:rPr>
        <w:t xml:space="preserve">муникационную инфраструктуру).</w:t>
      </w:r>
      <w:r>
        <w:rPr>
          <w:rFonts w:ascii="PT Serif" w:hAnsi="PT Serif" w:cs="PT Serif" w:eastAsia="PT Serif"/>
          <w:b w:val="false"/>
          <w:sz w:val="24"/>
        </w:rPr>
      </w:r>
      <w:r/>
    </w:p>
    <w:p>
      <w:pPr>
        <w:jc w:val="both"/>
      </w:pPr>
      <w:r>
        <w:rPr>
          <w:rFonts w:ascii="PT Serif" w:hAnsi="PT Serif" w:cs="PT Serif" w:eastAsia="PT Serif"/>
          <w:b w:val="false"/>
          <w:sz w:val="24"/>
        </w:rPr>
        <w:t xml:space="preserve">Финансовая поддержка предпринимателям оказывается в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  <w:r>
        <w:rPr>
          <w:rFonts w:ascii="PT Serif" w:hAnsi="PT Serif" w:cs="PT Serif" w:eastAsia="PT Serif"/>
          <w:b w:val="false"/>
          <w:sz w:val="24"/>
        </w:rPr>
      </w:r>
      <w:r/>
    </w:p>
    <w:p>
      <w:pPr>
        <w:jc w:val="both"/>
      </w:pPr>
      <w:r>
        <w:rPr>
          <w:rFonts w:ascii="PT Serif" w:hAnsi="PT Serif" w:cs="PT Serif" w:eastAsia="PT Serif"/>
          <w:b w:val="false"/>
          <w:sz w:val="24"/>
        </w:rPr>
      </w:r>
      <w:r>
        <w:rPr>
          <w:rFonts w:ascii="PT Serif" w:hAnsi="PT Serif" w:cs="PT Serif" w:eastAsia="PT Serif"/>
          <w:b w:val="false"/>
          <w:sz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PT Serif">
    <w:panose1 w:val="020A0603040505020204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53">
    <w:name w:val="Heading 1 Char"/>
    <w:basedOn w:val="629"/>
    <w:link w:val="628"/>
    <w:uiPriority w:val="9"/>
    <w:rPr>
      <w:rFonts w:ascii="Arial" w:hAnsi="Arial" w:cs="Arial" w:eastAsia="Arial"/>
      <w:sz w:val="40"/>
      <w:szCs w:val="40"/>
    </w:rPr>
  </w:style>
  <w:style w:type="paragraph" w:styleId="454">
    <w:name w:val="Heading 2"/>
    <w:basedOn w:val="627"/>
    <w:next w:val="627"/>
    <w:link w:val="45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5">
    <w:name w:val="Heading 2 Char"/>
    <w:basedOn w:val="629"/>
    <w:link w:val="454"/>
    <w:uiPriority w:val="9"/>
    <w:rPr>
      <w:rFonts w:ascii="Arial" w:hAnsi="Arial" w:cs="Arial" w:eastAsia="Arial"/>
      <w:sz w:val="34"/>
    </w:rPr>
  </w:style>
  <w:style w:type="paragraph" w:styleId="456">
    <w:name w:val="Heading 3"/>
    <w:basedOn w:val="627"/>
    <w:next w:val="627"/>
    <w:link w:val="45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7">
    <w:name w:val="Heading 3 Char"/>
    <w:basedOn w:val="629"/>
    <w:link w:val="456"/>
    <w:uiPriority w:val="9"/>
    <w:rPr>
      <w:rFonts w:ascii="Arial" w:hAnsi="Arial" w:cs="Arial" w:eastAsia="Arial"/>
      <w:sz w:val="30"/>
      <w:szCs w:val="30"/>
    </w:rPr>
  </w:style>
  <w:style w:type="paragraph" w:styleId="458">
    <w:name w:val="Heading 4"/>
    <w:basedOn w:val="627"/>
    <w:next w:val="627"/>
    <w:link w:val="45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9">
    <w:name w:val="Heading 4 Char"/>
    <w:basedOn w:val="629"/>
    <w:link w:val="458"/>
    <w:uiPriority w:val="9"/>
    <w:rPr>
      <w:rFonts w:ascii="Arial" w:hAnsi="Arial" w:cs="Arial" w:eastAsia="Arial"/>
      <w:b/>
      <w:bCs/>
      <w:sz w:val="26"/>
      <w:szCs w:val="26"/>
    </w:rPr>
  </w:style>
  <w:style w:type="paragraph" w:styleId="460">
    <w:name w:val="Heading 5"/>
    <w:basedOn w:val="627"/>
    <w:next w:val="627"/>
    <w:link w:val="46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61">
    <w:name w:val="Heading 5 Char"/>
    <w:basedOn w:val="629"/>
    <w:link w:val="460"/>
    <w:uiPriority w:val="9"/>
    <w:rPr>
      <w:rFonts w:ascii="Arial" w:hAnsi="Arial" w:cs="Arial" w:eastAsia="Arial"/>
      <w:b/>
      <w:bCs/>
      <w:sz w:val="24"/>
      <w:szCs w:val="24"/>
    </w:rPr>
  </w:style>
  <w:style w:type="paragraph" w:styleId="462">
    <w:name w:val="Heading 6"/>
    <w:basedOn w:val="627"/>
    <w:next w:val="627"/>
    <w:link w:val="46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63">
    <w:name w:val="Heading 6 Char"/>
    <w:basedOn w:val="629"/>
    <w:link w:val="462"/>
    <w:uiPriority w:val="9"/>
    <w:rPr>
      <w:rFonts w:ascii="Arial" w:hAnsi="Arial" w:cs="Arial" w:eastAsia="Arial"/>
      <w:b/>
      <w:bCs/>
      <w:sz w:val="22"/>
      <w:szCs w:val="22"/>
    </w:rPr>
  </w:style>
  <w:style w:type="paragraph" w:styleId="464">
    <w:name w:val="Heading 7"/>
    <w:basedOn w:val="627"/>
    <w:next w:val="627"/>
    <w:link w:val="46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5">
    <w:name w:val="Heading 7 Char"/>
    <w:basedOn w:val="629"/>
    <w:link w:val="46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6">
    <w:name w:val="Heading 8"/>
    <w:basedOn w:val="627"/>
    <w:next w:val="627"/>
    <w:link w:val="46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7">
    <w:name w:val="Heading 8 Char"/>
    <w:basedOn w:val="629"/>
    <w:link w:val="466"/>
    <w:uiPriority w:val="9"/>
    <w:rPr>
      <w:rFonts w:ascii="Arial" w:hAnsi="Arial" w:cs="Arial" w:eastAsia="Arial"/>
      <w:i/>
      <w:iCs/>
      <w:sz w:val="22"/>
      <w:szCs w:val="22"/>
    </w:rPr>
  </w:style>
  <w:style w:type="paragraph" w:styleId="468">
    <w:name w:val="Heading 9"/>
    <w:basedOn w:val="627"/>
    <w:next w:val="627"/>
    <w:link w:val="4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9">
    <w:name w:val="Heading 9 Char"/>
    <w:basedOn w:val="629"/>
    <w:link w:val="468"/>
    <w:uiPriority w:val="9"/>
    <w:rPr>
      <w:rFonts w:ascii="Arial" w:hAnsi="Arial" w:cs="Arial" w:eastAsia="Arial"/>
      <w:i/>
      <w:iCs/>
      <w:sz w:val="21"/>
      <w:szCs w:val="21"/>
    </w:rPr>
  </w:style>
  <w:style w:type="paragraph" w:styleId="470">
    <w:name w:val="List Paragraph"/>
    <w:basedOn w:val="627"/>
    <w:qFormat/>
    <w:uiPriority w:val="34"/>
    <w:pPr>
      <w:contextualSpacing w:val="true"/>
      <w:ind w:left="720"/>
    </w:pPr>
  </w:style>
  <w:style w:type="paragraph" w:styleId="471">
    <w:name w:val="No Spacing"/>
    <w:qFormat/>
    <w:uiPriority w:val="1"/>
    <w:pPr>
      <w:spacing w:lineRule="auto" w:line="240" w:after="0" w:before="0"/>
    </w:pPr>
  </w:style>
  <w:style w:type="paragraph" w:styleId="472">
    <w:name w:val="Title"/>
    <w:basedOn w:val="627"/>
    <w:next w:val="627"/>
    <w:link w:val="4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73">
    <w:name w:val="Title Char"/>
    <w:basedOn w:val="629"/>
    <w:link w:val="472"/>
    <w:uiPriority w:val="10"/>
    <w:rPr>
      <w:sz w:val="48"/>
      <w:szCs w:val="48"/>
    </w:rPr>
  </w:style>
  <w:style w:type="paragraph" w:styleId="474">
    <w:name w:val="Subtitle"/>
    <w:basedOn w:val="627"/>
    <w:next w:val="627"/>
    <w:link w:val="475"/>
    <w:qFormat/>
    <w:uiPriority w:val="11"/>
    <w:rPr>
      <w:sz w:val="24"/>
      <w:szCs w:val="24"/>
    </w:rPr>
    <w:pPr>
      <w:spacing w:after="200" w:before="200"/>
    </w:pPr>
  </w:style>
  <w:style w:type="character" w:styleId="475">
    <w:name w:val="Subtitle Char"/>
    <w:basedOn w:val="629"/>
    <w:link w:val="474"/>
    <w:uiPriority w:val="11"/>
    <w:rPr>
      <w:sz w:val="24"/>
      <w:szCs w:val="24"/>
    </w:rPr>
  </w:style>
  <w:style w:type="paragraph" w:styleId="476">
    <w:name w:val="Quote"/>
    <w:basedOn w:val="627"/>
    <w:next w:val="627"/>
    <w:link w:val="477"/>
    <w:qFormat/>
    <w:uiPriority w:val="29"/>
    <w:rPr>
      <w:i/>
    </w:rPr>
    <w:pPr>
      <w:ind w:left="720" w:right="720"/>
    </w:pPr>
  </w:style>
  <w:style w:type="character" w:styleId="477">
    <w:name w:val="Quote Char"/>
    <w:link w:val="476"/>
    <w:uiPriority w:val="29"/>
    <w:rPr>
      <w:i/>
    </w:rPr>
  </w:style>
  <w:style w:type="paragraph" w:styleId="478">
    <w:name w:val="Intense Quote"/>
    <w:basedOn w:val="627"/>
    <w:next w:val="627"/>
    <w:link w:val="47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9">
    <w:name w:val="Intense Quote Char"/>
    <w:link w:val="478"/>
    <w:uiPriority w:val="30"/>
    <w:rPr>
      <w:i/>
    </w:rPr>
  </w:style>
  <w:style w:type="paragraph" w:styleId="480">
    <w:name w:val="Header"/>
    <w:basedOn w:val="627"/>
    <w:link w:val="48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1">
    <w:name w:val="Header Char"/>
    <w:basedOn w:val="629"/>
    <w:link w:val="480"/>
    <w:uiPriority w:val="99"/>
  </w:style>
  <w:style w:type="paragraph" w:styleId="482">
    <w:name w:val="Footer"/>
    <w:basedOn w:val="627"/>
    <w:link w:val="48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3">
    <w:name w:val="Footer Char"/>
    <w:basedOn w:val="629"/>
    <w:link w:val="482"/>
    <w:uiPriority w:val="99"/>
  </w:style>
  <w:style w:type="paragraph" w:styleId="484">
    <w:name w:val="Caption"/>
    <w:basedOn w:val="627"/>
    <w:next w:val="62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5">
    <w:name w:val="Caption Char"/>
    <w:basedOn w:val="484"/>
    <w:link w:val="482"/>
    <w:uiPriority w:val="99"/>
  </w:style>
  <w:style w:type="table" w:styleId="486">
    <w:name w:val="Table Grid Light"/>
    <w:basedOn w:val="6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7">
    <w:name w:val="Plain Table 1"/>
    <w:basedOn w:val="6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8">
    <w:name w:val="Plain Table 2"/>
    <w:basedOn w:val="6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9">
    <w:name w:val="Plain Table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0">
    <w:name w:val="Plain Table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Plain Table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2">
    <w:name w:val="Grid Table 1 Light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1 Light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Grid Table 1 Light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Grid Table 1 Light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Grid Table 1 Light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Grid Table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2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2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2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2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3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3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3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2">
    <w:name w:val="Grid Table 3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3">
    <w:name w:val="Grid Table 4"/>
    <w:basedOn w:val="6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4">
    <w:name w:val="Grid Table 4 - Accent 1"/>
    <w:basedOn w:val="6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5">
    <w:name w:val="Grid Table 4 - Accent 2"/>
    <w:basedOn w:val="6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6">
    <w:name w:val="Grid Table 4 - Accent 3"/>
    <w:basedOn w:val="6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7">
    <w:name w:val="Grid Table 4 - Accent 4"/>
    <w:basedOn w:val="6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8">
    <w:name w:val="Grid Table 4 - Accent 5"/>
    <w:basedOn w:val="6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9">
    <w:name w:val="Grid Table 4 - Accent 6"/>
    <w:basedOn w:val="6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20">
    <w:name w:val="Grid Table 5 Dark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21">
    <w:name w:val="Grid Table 5 Dark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22">
    <w:name w:val="Grid Table 5 Dark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23">
    <w:name w:val="Grid Table 5 Dark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24">
    <w:name w:val="Grid Table 5 Dark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5">
    <w:name w:val="Grid Table 5 Dark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6">
    <w:name w:val="Grid Table 5 Dark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7">
    <w:name w:val="Grid Table 6 Colorful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8">
    <w:name w:val="Grid Table 6 Colorful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9">
    <w:name w:val="Grid Table 6 Colorful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30">
    <w:name w:val="Grid Table 6 Colorful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31">
    <w:name w:val="Grid Table 6 Colorful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32">
    <w:name w:val="Grid Table 6 Colorful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3">
    <w:name w:val="Grid Table 6 Colorful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4">
    <w:name w:val="Grid Table 7 Colorful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7 Colorful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7 Colorful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7 Colorful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7 Colorful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1 Light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List Table 1 Light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List Table 1 Light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List Table 1 Light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List Table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9">
    <w:name w:val="List Table 2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50">
    <w:name w:val="List Table 2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51">
    <w:name w:val="List Table 2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52">
    <w:name w:val="List Table 2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53">
    <w:name w:val="List Table 2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4">
    <w:name w:val="List Table 2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5">
    <w:name w:val="List Table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3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3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3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3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4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List Table 4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List Table 4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>
    <w:name w:val="List Table 4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>
    <w:name w:val="List Table 5 Dark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5 Dark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3">
    <w:name w:val="List Table 5 Dark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4">
    <w:name w:val="List Table 5 Dark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5">
    <w:name w:val="List Table 5 Dark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6">
    <w:name w:val="List Table 6 Colorful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7">
    <w:name w:val="List Table 6 Colorful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8">
    <w:name w:val="List Table 6 Colorful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9">
    <w:name w:val="List Table 6 Colorful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80">
    <w:name w:val="List Table 6 Colorful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81">
    <w:name w:val="List Table 6 Colorful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82">
    <w:name w:val="List Table 6 Colorful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83">
    <w:name w:val="List Table 7 Colorful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4">
    <w:name w:val="List Table 7 Colorful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85">
    <w:name w:val="List Table 7 Colorful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6">
    <w:name w:val="List Table 7 Colorful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7">
    <w:name w:val="List Table 7 Colorful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8">
    <w:name w:val="List Table 7 Colorful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89">
    <w:name w:val="List Table 7 Colorful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90">
    <w:name w:val="Lined - Accent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1">
    <w:name w:val="Lined - Accent 1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2">
    <w:name w:val="Lined - Accent 2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3">
    <w:name w:val="Lined - Accent 3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4">
    <w:name w:val="Lined - Accent 4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5">
    <w:name w:val="Lined - Accent 5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6">
    <w:name w:val="Lined - Accent 6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7">
    <w:name w:val="Bordered &amp; Lined - Accent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8">
    <w:name w:val="Bordered &amp; Lined - Accent 1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9">
    <w:name w:val="Bordered &amp; Lined - Accent 2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00">
    <w:name w:val="Bordered &amp; Lined - Accent 3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01">
    <w:name w:val="Bordered &amp; Lined - Accent 4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2">
    <w:name w:val="Bordered &amp; Lined - Accent 5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3">
    <w:name w:val="Bordered &amp; Lined - Accent 6"/>
    <w:basedOn w:val="6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4">
    <w:name w:val="Bordered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5">
    <w:name w:val="Bordered - Accent 1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6">
    <w:name w:val="Bordered - Accent 2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7">
    <w:name w:val="Bordered - Accent 3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8">
    <w:name w:val="Bordered - Accent 4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9">
    <w:name w:val="Bordered - Accent 5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10">
    <w:name w:val="Bordered - Accent 6"/>
    <w:basedOn w:val="6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11">
    <w:name w:val="footnote text"/>
    <w:basedOn w:val="627"/>
    <w:link w:val="612"/>
    <w:uiPriority w:val="99"/>
    <w:semiHidden/>
    <w:unhideWhenUsed/>
    <w:rPr>
      <w:sz w:val="18"/>
    </w:rPr>
    <w:pPr>
      <w:spacing w:lineRule="auto" w:line="240" w:after="40"/>
    </w:pPr>
  </w:style>
  <w:style w:type="character" w:styleId="612">
    <w:name w:val="Footnote Text Char"/>
    <w:link w:val="611"/>
    <w:uiPriority w:val="99"/>
    <w:rPr>
      <w:sz w:val="18"/>
    </w:rPr>
  </w:style>
  <w:style w:type="character" w:styleId="613">
    <w:name w:val="footnote reference"/>
    <w:basedOn w:val="629"/>
    <w:uiPriority w:val="99"/>
    <w:unhideWhenUsed/>
    <w:rPr>
      <w:vertAlign w:val="superscript"/>
    </w:rPr>
  </w:style>
  <w:style w:type="paragraph" w:styleId="614">
    <w:name w:val="endnote text"/>
    <w:basedOn w:val="627"/>
    <w:link w:val="615"/>
    <w:uiPriority w:val="99"/>
    <w:semiHidden/>
    <w:unhideWhenUsed/>
    <w:rPr>
      <w:sz w:val="20"/>
    </w:rPr>
    <w:pPr>
      <w:spacing w:lineRule="auto" w:line="240" w:after="0"/>
    </w:pPr>
  </w:style>
  <w:style w:type="character" w:styleId="615">
    <w:name w:val="Endnote Text Char"/>
    <w:link w:val="614"/>
    <w:uiPriority w:val="99"/>
    <w:rPr>
      <w:sz w:val="20"/>
    </w:rPr>
  </w:style>
  <w:style w:type="character" w:styleId="616">
    <w:name w:val="endnote reference"/>
    <w:basedOn w:val="629"/>
    <w:uiPriority w:val="99"/>
    <w:semiHidden/>
    <w:unhideWhenUsed/>
    <w:rPr>
      <w:vertAlign w:val="superscript"/>
    </w:rPr>
  </w:style>
  <w:style w:type="paragraph" w:styleId="617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618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619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620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621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622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623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624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625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626">
    <w:name w:val="TOC Heading"/>
    <w:uiPriority w:val="39"/>
    <w:unhideWhenUsed/>
  </w:style>
  <w:style w:type="paragraph" w:styleId="627" w:default="1">
    <w:name w:val="Normal"/>
    <w:qFormat/>
  </w:style>
  <w:style w:type="paragraph" w:styleId="628">
    <w:name w:val="Heading 1"/>
    <w:basedOn w:val="627"/>
    <w:link w:val="637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character" w:styleId="629" w:default="1">
    <w:name w:val="Default Paragraph Font"/>
    <w:uiPriority w:val="1"/>
    <w:semiHidden/>
    <w:unhideWhenUsed/>
  </w:style>
  <w:style w:type="table" w:styleId="6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1" w:default="1">
    <w:name w:val="No List"/>
    <w:uiPriority w:val="99"/>
    <w:semiHidden/>
    <w:unhideWhenUsed/>
  </w:style>
  <w:style w:type="paragraph" w:styleId="632">
    <w:name w:val="Normal (Web)"/>
    <w:basedOn w:val="627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33">
    <w:name w:val="Hyperlink"/>
    <w:basedOn w:val="629"/>
    <w:uiPriority w:val="99"/>
    <w:semiHidden/>
    <w:unhideWhenUsed/>
    <w:rPr>
      <w:color w:val="0000FF"/>
      <w:u w:val="single"/>
    </w:rPr>
  </w:style>
  <w:style w:type="table" w:styleId="634">
    <w:name w:val="Table Grid"/>
    <w:basedOn w:val="630"/>
    <w:uiPriority w:val="39"/>
    <w:rPr>
      <w:rFonts w:ascii="Calibri" w:hAnsi="Calibri" w:cs="Calibri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35">
    <w:name w:val="Balloon Text"/>
    <w:basedOn w:val="627"/>
    <w:link w:val="636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36" w:customStyle="1">
    <w:name w:val="Текст выноски Знак"/>
    <w:basedOn w:val="629"/>
    <w:link w:val="635"/>
    <w:uiPriority w:val="99"/>
    <w:semiHidden/>
    <w:rPr>
      <w:rFonts w:ascii="Segoe UI" w:hAnsi="Segoe UI" w:cs="Segoe UI"/>
      <w:sz w:val="18"/>
      <w:szCs w:val="18"/>
    </w:rPr>
  </w:style>
  <w:style w:type="character" w:styleId="637" w:customStyle="1">
    <w:name w:val="Заголовок 1 Знак"/>
    <w:basedOn w:val="629"/>
    <w:link w:val="628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38">
    <w:name w:val="Strong"/>
    <w:basedOn w:val="629"/>
    <w:qFormat/>
    <w:uiPriority w:val="22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hyperlink" Target="http://www.altsm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revision>35</cp:revision>
  <dcterms:created xsi:type="dcterms:W3CDTF">2022-08-03T09:59:00Z</dcterms:created>
  <dcterms:modified xsi:type="dcterms:W3CDTF">2023-08-15T08:28:19Z</dcterms:modified>
</cp:coreProperties>
</file>