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7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both"/>
        <w:spacing w:after="120"/>
        <w:rPr>
          <w:rFonts w:ascii="PT Astra Serif" w:hAnsi="PT Astra Serif" w:cs="PT Astra Serif" w:eastAsia="PT Astra Serif"/>
          <w:b/>
          <w:sz w:val="26"/>
          <w:szCs w:val="26"/>
        </w:rPr>
      </w:pPr>
      <w:r>
        <w:rPr>
          <w:rFonts w:ascii="PT Astra Serif" w:hAnsi="PT Astra Serif" w:cs="PT Astra Serif" w:eastAsia="PT Astra Serif"/>
          <w:b/>
          <w:sz w:val="26"/>
          <w:szCs w:val="26"/>
        </w:rPr>
        <w:t xml:space="preserve">Количество самозанятых в Алтайском крае за год выросло в 1,5 раза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  <w:spacing w:lineRule="atLeast" w:line="18" w:after="120"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В рамках реализации национального проекта «Малое и среднее предпринимательство», реализующегося по решению Президента России Владимира Путина, предусмот</w:t>
      </w:r>
      <w:bookmarkStart w:id="0" w:name="_GoBack"/>
      <w:r>
        <w:rPr>
          <w:rFonts w:ascii="PT Astra Serif" w:hAnsi="PT Astra Serif" w:cs="PT Astra Serif" w:eastAsia="PT Astra Serif"/>
        </w:rPr>
      </w:r>
      <w:bookmarkEnd w:id="0"/>
      <w:r>
        <w:rPr>
          <w:rFonts w:ascii="PT Astra Serif" w:hAnsi="PT Astra Serif" w:cs="PT Astra Serif" w:eastAsia="PT Astra Serif"/>
          <w:sz w:val="26"/>
          <w:szCs w:val="26"/>
        </w:rPr>
        <w:t xml:space="preserve">рено введение нового налогового режима «Налог на профессиональный доход» и поэтапное его распространение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на все регионы страны.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На начало 2024 года число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плательщиков данного налогового режима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в Алтайском крае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превысило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104,7 тыс. человек, тогда как год назад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количество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самозанятых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насчитывалось порядка 68,6 тыс. человек.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  <w:spacing w:lineRule="atLeast" w:line="18" w:after="120"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Стабильный рост числа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самозанятых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свидетельствует о привлекательности данного налогового режима для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бизнеса и высокой востребованности ввиду его простоты использования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и возможности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регистрации, отражения доходов и уплаты налога дистанционно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, без посещения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органов государственной власти.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  <w:spacing w:lineRule="atLeast" w:line="18" w:after="120"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Плательщиками налога на про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фессиональный доход в регионе сегодня является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каждый четвертый из числа занятых в сфере малого и среднего предпринимательства. 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  <w:spacing w:lineRule="atLeast" w:line="18" w:after="120"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  <w:sz w:val="26"/>
          <w:szCs w:val="26"/>
        </w:rPr>
        <w:t xml:space="preserve">Поступления по налогу на профессиональный доход за 2023 год оценивается на уровне 271,4 млн. рублей, что выше сопоставимого значения за 2022 год более чем на 70% (157 млн. рублей).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Наиболее популярными направлениями деятельности самозанятых граждан являются деятельность в области ремонта – 15,9 % (ремонт квартир, бытовой техники, сантехнический и проч.), к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расоты – 11,7 %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(парикмахер, косметолог, стилист и др.) и авто – 11,4 % (перевозка грузов и пассажиров, автосервис, мойка и проч.).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  <w:spacing w:lineRule="atLeast" w:line="18" w:after="120"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В рамках реализации национального проекта «Малое и среднее предпринимательство» для самозанятых предусмотрены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меры государственной поддержки, в том числе предоставление льготных займов и поручительств региональными микрофинансовой и гарантийной организациями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,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информационно-консультационные и образовате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льные услуги Центра «Мой бизнес», а также услуги по брендированию, продвижению товаров, разработке сайтов и многое другое, узнать про которые более подробно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можно по телефонам 8-800-222-83-22,  или обратившись по адресу: ул. Мало-Тобольская, 19.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  <w:spacing w:lineRule="atLeast" w:line="18" w:after="120"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Д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ля того, чтобы начать работать и зарабатывать официально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,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как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самозанятый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-</w:t>
      </w:r>
      <w:r>
        <w:rPr>
          <w:rFonts w:ascii="PT Astra Serif" w:hAnsi="PT Astra Serif" w:cs="PT Astra Serif" w:eastAsia="PT Astra Serif"/>
          <w:sz w:val="26"/>
          <w:szCs w:val="26"/>
        </w:rPr>
        <w:br/>
        <w:t xml:space="preserve">достаточно скачать и установить на свой мобильный теле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фон приложение «Мой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налог»,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пройти простую процедуру регистрации, получить подтверждение от УФНС, а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дальше уже можно начинать получа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ть преимущества от использования мер государственной поддержки.</w:t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2"/>
    <w:link w:val="61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basedOn w:val="622"/>
    <w:link w:val="619"/>
    <w:uiPriority w:val="9"/>
    <w:rPr>
      <w:rFonts w:ascii="Arial" w:hAnsi="Arial" w:cs="Arial" w:eastAsia="Arial"/>
      <w:sz w:val="34"/>
    </w:rPr>
  </w:style>
  <w:style w:type="character" w:styleId="449">
    <w:name w:val="Heading 3 Char"/>
    <w:basedOn w:val="622"/>
    <w:link w:val="62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basedOn w:val="622"/>
    <w:link w:val="621"/>
    <w:uiPriority w:val="9"/>
    <w:rPr>
      <w:rFonts w:ascii="Arial" w:hAnsi="Arial" w:cs="Arial" w:eastAsia="Arial"/>
      <w:b/>
      <w:bCs/>
      <w:sz w:val="26"/>
      <w:szCs w:val="26"/>
    </w:rPr>
  </w:style>
  <w:style w:type="paragraph" w:styleId="451">
    <w:name w:val="Heading 5"/>
    <w:basedOn w:val="617"/>
    <w:next w:val="617"/>
    <w:link w:val="45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2">
    <w:name w:val="Heading 5 Char"/>
    <w:basedOn w:val="622"/>
    <w:link w:val="451"/>
    <w:uiPriority w:val="9"/>
    <w:rPr>
      <w:rFonts w:ascii="Arial" w:hAnsi="Arial" w:cs="Arial" w:eastAsia="Arial"/>
      <w:b/>
      <w:bCs/>
      <w:sz w:val="24"/>
      <w:szCs w:val="24"/>
    </w:rPr>
  </w:style>
  <w:style w:type="paragraph" w:styleId="453">
    <w:name w:val="Heading 6"/>
    <w:basedOn w:val="617"/>
    <w:next w:val="617"/>
    <w:link w:val="45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4">
    <w:name w:val="Heading 6 Char"/>
    <w:basedOn w:val="622"/>
    <w:link w:val="453"/>
    <w:uiPriority w:val="9"/>
    <w:rPr>
      <w:rFonts w:ascii="Arial" w:hAnsi="Arial" w:cs="Arial" w:eastAsia="Arial"/>
      <w:b/>
      <w:bCs/>
      <w:sz w:val="22"/>
      <w:szCs w:val="22"/>
    </w:rPr>
  </w:style>
  <w:style w:type="paragraph" w:styleId="455">
    <w:name w:val="Heading 7"/>
    <w:basedOn w:val="617"/>
    <w:next w:val="617"/>
    <w:link w:val="45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6">
    <w:name w:val="Heading 7 Char"/>
    <w:basedOn w:val="622"/>
    <w:link w:val="4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7">
    <w:name w:val="Heading 8"/>
    <w:basedOn w:val="617"/>
    <w:next w:val="617"/>
    <w:link w:val="45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58">
    <w:name w:val="Heading 8 Char"/>
    <w:basedOn w:val="622"/>
    <w:link w:val="457"/>
    <w:uiPriority w:val="9"/>
    <w:rPr>
      <w:rFonts w:ascii="Arial" w:hAnsi="Arial" w:cs="Arial" w:eastAsia="Arial"/>
      <w:i/>
      <w:iCs/>
      <w:sz w:val="22"/>
      <w:szCs w:val="22"/>
    </w:rPr>
  </w:style>
  <w:style w:type="paragraph" w:styleId="459">
    <w:name w:val="Heading 9"/>
    <w:basedOn w:val="617"/>
    <w:next w:val="617"/>
    <w:link w:val="46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0">
    <w:name w:val="Heading 9 Char"/>
    <w:basedOn w:val="622"/>
    <w:link w:val="459"/>
    <w:uiPriority w:val="9"/>
    <w:rPr>
      <w:rFonts w:ascii="Arial" w:hAnsi="Arial" w:cs="Arial" w:eastAsia="Arial"/>
      <w:i/>
      <w:iCs/>
      <w:sz w:val="21"/>
      <w:szCs w:val="21"/>
    </w:rPr>
  </w:style>
  <w:style w:type="paragraph" w:styleId="461">
    <w:name w:val="List Paragraph"/>
    <w:basedOn w:val="617"/>
    <w:qFormat/>
    <w:uiPriority w:val="34"/>
    <w:pPr>
      <w:contextualSpacing w:val="true"/>
      <w:ind w:left="720"/>
    </w:pPr>
  </w:style>
  <w:style w:type="paragraph" w:styleId="462">
    <w:name w:val="Title"/>
    <w:basedOn w:val="617"/>
    <w:next w:val="617"/>
    <w:link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3">
    <w:name w:val="Title Char"/>
    <w:basedOn w:val="622"/>
    <w:link w:val="462"/>
    <w:uiPriority w:val="10"/>
    <w:rPr>
      <w:sz w:val="48"/>
      <w:szCs w:val="48"/>
    </w:rPr>
  </w:style>
  <w:style w:type="paragraph" w:styleId="464">
    <w:name w:val="Subtitle"/>
    <w:basedOn w:val="617"/>
    <w:next w:val="617"/>
    <w:link w:val="465"/>
    <w:qFormat/>
    <w:uiPriority w:val="11"/>
    <w:rPr>
      <w:sz w:val="24"/>
      <w:szCs w:val="24"/>
    </w:rPr>
    <w:pPr>
      <w:spacing w:after="200" w:before="200"/>
    </w:pPr>
  </w:style>
  <w:style w:type="character" w:styleId="465">
    <w:name w:val="Subtitle Char"/>
    <w:basedOn w:val="622"/>
    <w:link w:val="464"/>
    <w:uiPriority w:val="11"/>
    <w:rPr>
      <w:sz w:val="24"/>
      <w:szCs w:val="24"/>
    </w:rPr>
  </w:style>
  <w:style w:type="paragraph" w:styleId="466">
    <w:name w:val="Quote"/>
    <w:basedOn w:val="617"/>
    <w:next w:val="617"/>
    <w:link w:val="467"/>
    <w:qFormat/>
    <w:uiPriority w:val="29"/>
    <w:rPr>
      <w:i/>
    </w:rPr>
    <w:pPr>
      <w:ind w:left="720" w:right="720"/>
    </w:pPr>
  </w:style>
  <w:style w:type="character" w:styleId="467">
    <w:name w:val="Quote Char"/>
    <w:link w:val="466"/>
    <w:uiPriority w:val="29"/>
    <w:rPr>
      <w:i/>
    </w:rPr>
  </w:style>
  <w:style w:type="paragraph" w:styleId="468">
    <w:name w:val="Intense Quote"/>
    <w:basedOn w:val="617"/>
    <w:next w:val="617"/>
    <w:link w:val="46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9">
    <w:name w:val="Intense Quote Char"/>
    <w:link w:val="468"/>
    <w:uiPriority w:val="30"/>
    <w:rPr>
      <w:i/>
    </w:rPr>
  </w:style>
  <w:style w:type="paragraph" w:styleId="470">
    <w:name w:val="Header"/>
    <w:basedOn w:val="617"/>
    <w:link w:val="4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1">
    <w:name w:val="Header Char"/>
    <w:basedOn w:val="622"/>
    <w:link w:val="470"/>
    <w:uiPriority w:val="99"/>
  </w:style>
  <w:style w:type="paragraph" w:styleId="472">
    <w:name w:val="Footer"/>
    <w:basedOn w:val="617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Footer Char"/>
    <w:basedOn w:val="622"/>
    <w:link w:val="472"/>
    <w:uiPriority w:val="99"/>
  </w:style>
  <w:style w:type="paragraph" w:styleId="474">
    <w:name w:val="Caption"/>
    <w:basedOn w:val="617"/>
    <w:next w:val="6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5">
    <w:name w:val="Caption Char"/>
    <w:basedOn w:val="474"/>
    <w:link w:val="472"/>
    <w:uiPriority w:val="99"/>
  </w:style>
  <w:style w:type="table" w:styleId="476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7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8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9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0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2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4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5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6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7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8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9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0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1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2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3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4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7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8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9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0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1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2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3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4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9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0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1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2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3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4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5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7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8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9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0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1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2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3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4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5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6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7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78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9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0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1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2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3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4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5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6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7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8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9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0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1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2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3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4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5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6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7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8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9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0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1">
    <w:name w:val="footnote text"/>
    <w:basedOn w:val="617"/>
    <w:link w:val="602"/>
    <w:uiPriority w:val="99"/>
    <w:semiHidden/>
    <w:unhideWhenUsed/>
    <w:rPr>
      <w:sz w:val="18"/>
    </w:rPr>
    <w:pPr>
      <w:spacing w:lineRule="auto" w:line="240" w:after="40"/>
    </w:pPr>
  </w:style>
  <w:style w:type="character" w:styleId="602">
    <w:name w:val="Footnote Text Char"/>
    <w:link w:val="601"/>
    <w:uiPriority w:val="99"/>
    <w:rPr>
      <w:sz w:val="18"/>
    </w:rPr>
  </w:style>
  <w:style w:type="character" w:styleId="603">
    <w:name w:val="footnote reference"/>
    <w:basedOn w:val="622"/>
    <w:uiPriority w:val="99"/>
    <w:unhideWhenUsed/>
    <w:rPr>
      <w:vertAlign w:val="superscript"/>
    </w:rPr>
  </w:style>
  <w:style w:type="paragraph" w:styleId="604">
    <w:name w:val="endnote text"/>
    <w:basedOn w:val="617"/>
    <w:link w:val="605"/>
    <w:uiPriority w:val="99"/>
    <w:semiHidden/>
    <w:unhideWhenUsed/>
    <w:rPr>
      <w:sz w:val="20"/>
    </w:rPr>
    <w:pPr>
      <w:spacing w:lineRule="auto" w:line="240" w:after="0"/>
    </w:pPr>
  </w:style>
  <w:style w:type="character" w:styleId="605">
    <w:name w:val="Endnote Text Char"/>
    <w:link w:val="604"/>
    <w:uiPriority w:val="99"/>
    <w:rPr>
      <w:sz w:val="20"/>
    </w:rPr>
  </w:style>
  <w:style w:type="character" w:styleId="606">
    <w:name w:val="endnote reference"/>
    <w:basedOn w:val="622"/>
    <w:uiPriority w:val="99"/>
    <w:semiHidden/>
    <w:unhideWhenUsed/>
    <w:rPr>
      <w:vertAlign w:val="superscript"/>
    </w:rPr>
  </w:style>
  <w:style w:type="paragraph" w:styleId="607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608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609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610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611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612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613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614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615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6">
    <w:name w:val="TOC Heading"/>
    <w:uiPriority w:val="39"/>
    <w:unhideWhenUsed/>
  </w:style>
  <w:style w:type="paragraph" w:styleId="617" w:default="1">
    <w:name w:val="Normal"/>
    <w:qFormat/>
  </w:style>
  <w:style w:type="paragraph" w:styleId="618">
    <w:name w:val="Heading 1"/>
    <w:basedOn w:val="617"/>
    <w:link w:val="63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19">
    <w:name w:val="Heading 2"/>
    <w:basedOn w:val="617"/>
    <w:next w:val="617"/>
    <w:link w:val="635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0">
    <w:name w:val="Heading 3"/>
    <w:basedOn w:val="617"/>
    <w:next w:val="617"/>
    <w:link w:val="634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1">
    <w:name w:val="Heading 4"/>
    <w:basedOn w:val="617"/>
    <w:next w:val="617"/>
    <w:link w:val="633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1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6">
    <w:name w:val="Hyperlink"/>
    <w:basedOn w:val="622"/>
    <w:uiPriority w:val="99"/>
    <w:unhideWhenUsed/>
    <w:rPr>
      <w:color w:val="0000FF"/>
      <w:u w:val="single"/>
    </w:rPr>
  </w:style>
  <w:style w:type="table" w:styleId="627">
    <w:name w:val="Table Grid"/>
    <w:basedOn w:val="623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17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2"/>
    <w:link w:val="628"/>
    <w:uiPriority w:val="99"/>
    <w:semiHidden/>
    <w:rPr>
      <w:rFonts w:ascii="Segoe UI" w:hAnsi="Segoe UI" w:cs="Segoe UI"/>
      <w:sz w:val="18"/>
      <w:szCs w:val="18"/>
    </w:rPr>
  </w:style>
  <w:style w:type="character" w:styleId="630" w:customStyle="1">
    <w:name w:val="Заголовок 1 Знак"/>
    <w:basedOn w:val="622"/>
    <w:link w:val="61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1">
    <w:name w:val="Strong"/>
    <w:basedOn w:val="622"/>
    <w:qFormat/>
    <w:uiPriority w:val="22"/>
    <w:rPr>
      <w:b/>
      <w:bCs/>
    </w:rPr>
  </w:style>
  <w:style w:type="paragraph" w:styleId="632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3" w:customStyle="1">
    <w:name w:val="Заголовок 4 Знак"/>
    <w:basedOn w:val="622"/>
    <w:link w:val="621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4" w:customStyle="1">
    <w:name w:val="Заголовок 3 Знак"/>
    <w:basedOn w:val="622"/>
    <w:link w:val="620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5" w:customStyle="1">
    <w:name w:val="Заголовок 2 Знак"/>
    <w:basedOn w:val="622"/>
    <w:link w:val="619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paragraph" w:styleId="636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11</cp:revision>
  <dcterms:created xsi:type="dcterms:W3CDTF">2023-02-14T10:09:00Z</dcterms:created>
  <dcterms:modified xsi:type="dcterms:W3CDTF">2024-02-14T05:16:19Z</dcterms:modified>
</cp:coreProperties>
</file>