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1038" w:leftFromText="180" w:topFromText="0" w:rightFromText="180" w:bottomFromText="0"/>
        <w:tblW w:w="9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52"/>
      </w:tblGrid>
      <w:tr>
        <w:tblPrEx/>
        <w:trPr>
          <w:trHeight w:val="8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52" w:type="dxa"/>
            <w:textDirection w:val="lrTb"/>
            <w:noWrap w:val="false"/>
          </w:tcPr>
          <w:p>
            <w:pPr>
              <w:pStyle w:val="8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РОССИЙСКАЯ</w:t>
            </w:r>
            <w:r>
              <w:rPr>
                <w:b/>
                <w:spacing w:val="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ФЕДЕРАЦИЯ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</w:t>
            </w:r>
            <w:r>
              <w:rPr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6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СУЕТСКИЙ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АЛТАЙСКОГО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0"/>
              <w:rPr>
                <w:sz w:val="39"/>
              </w:rPr>
            </w:pPr>
            <w:r>
              <w:rPr>
                <w:sz w:val="39"/>
              </w:rPr>
            </w:r>
            <w:r>
              <w:rPr>
                <w:sz w:val="39"/>
              </w:rPr>
            </w:r>
            <w:r>
              <w:rPr>
                <w:sz w:val="39"/>
              </w:rPr>
            </w:r>
          </w:p>
          <w:p>
            <w:pPr>
              <w:pStyle w:val="850"/>
              <w:ind w:left="1119" w:right="588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ПОСТАНОВЛЕНИЕ</w: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</w:r>
          </w:p>
          <w:p>
            <w:pPr>
              <w:pStyle w:val="850"/>
              <w:spacing w:before="2"/>
            </w:pPr>
            <w:r/>
            <w:r/>
          </w:p>
          <w:p>
            <w:pPr>
              <w:pStyle w:val="850"/>
              <w:spacing w:before="2"/>
            </w:pPr>
            <w:r>
              <w:rPr>
                <w:b/>
                <w:u w:val="single"/>
              </w:rPr>
              <w:t xml:space="preserve">«  </w:t>
            </w:r>
            <w:r>
              <w:rPr>
                <w:b/>
                <w:u w:val="single"/>
              </w:rPr>
              <w:t xml:space="preserve">10</w:t>
            </w:r>
            <w:r>
              <w:rPr>
                <w:b/>
                <w:u w:val="single"/>
              </w:rPr>
              <w:t xml:space="preserve"> »</w:t>
            </w:r>
            <w:r>
              <w:rPr>
                <w:b/>
                <w:u w:val="single"/>
              </w:rPr>
              <w:t xml:space="preserve"> февраля</w:t>
            </w:r>
            <w:r>
              <w:rPr>
                <w:b/>
                <w:u w:val="single"/>
              </w:rPr>
              <w:t xml:space="preserve">_</w:t>
            </w:r>
            <w:r>
              <w:rPr>
                <w:b/>
                <w:u w:val="single"/>
              </w:rPr>
              <w:t xml:space="preserve">2026</w:t>
            </w:r>
            <w:r>
              <w:rPr>
                <w:b/>
                <w:u w:val="single"/>
              </w:rPr>
              <w:t xml:space="preserve"> г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 xml:space="preserve">                  №  </w:t>
            </w:r>
            <w:r>
              <w:rPr>
                <w:b/>
                <w:u w:val="single"/>
              </w:rPr>
              <w:t xml:space="preserve">29</w:t>
            </w:r>
            <w:bookmarkStart w:id="0" w:name="_GoBack"/>
            <w:r/>
            <w:bookmarkEnd w:id="0"/>
            <w:r>
              <w:rPr>
                <w:b/>
                <w:u w:val="single"/>
              </w:rPr>
              <w:t xml:space="preserve">             ______            с. Верх-Суетка  </w:t>
            </w:r>
            <w:r/>
          </w:p>
          <w:p>
            <w:pPr>
              <w:pStyle w:val="850"/>
              <w:ind w:left="296"/>
              <w:tabs>
                <w:tab w:val="left" w:pos="4216" w:leader="none"/>
                <w:tab w:val="left" w:pos="8883" w:leader="none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tbl>
            <w:tblPr>
              <w:tblpPr w:horzAnchor="text" w:tblpXSpec="left" w:vertAnchor="text" w:tblpY="-66" w:leftFromText="180" w:topFromText="0" w:rightFromText="180" w:bottomFromText="0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9"/>
              <w:gridCol w:w="4710"/>
            </w:tblGrid>
            <w:tr>
              <w:tblPrEx/>
              <w:trPr>
                <w:trHeight w:val="721"/>
              </w:trPr>
              <w:tc>
                <w:tcPr>
                  <w:tcW w:w="4709" w:type="dxa"/>
                  <w:textDirection w:val="lrTb"/>
                  <w:noWrap w:val="false"/>
                </w:tcPr>
                <w:p>
                  <w:pPr>
                    <w:ind w:firstLine="34"/>
                    <w:jc w:val="both"/>
                    <w:spacing w:line="240" w:lineRule="exact"/>
                    <w:rPr>
                      <w:rStyle w:val="848"/>
                      <w:color w:val="000000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муниципального округа </w:t>
                  </w:r>
                  <w:r>
                    <w:rPr>
                      <w:sz w:val="28"/>
                      <w:szCs w:val="28"/>
                    </w:rPr>
                    <w:t xml:space="preserve">Суеский</w:t>
                  </w:r>
                  <w:r>
                    <w:rPr>
                      <w:sz w:val="28"/>
                      <w:szCs w:val="28"/>
                    </w:rPr>
                    <w:t xml:space="preserve"> район Алтайского края  № 7 от 10.01.2023 года</w:t>
                  </w:r>
                  <w:r>
                    <w:rPr>
                      <w:sz w:val="28"/>
                      <w:szCs w:val="28"/>
                    </w:rPr>
                    <w:t xml:space="preserve"> «</w:t>
                  </w:r>
                  <w:r>
                    <w:rPr>
                      <w:sz w:val="28"/>
                      <w:szCs w:val="28"/>
                    </w:rPr>
                    <w:t xml:space="preserve">Об утверждении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округа </w:t>
                  </w:r>
                  <w:r>
                    <w:rPr>
                      <w:sz w:val="28"/>
                      <w:szCs w:val="28"/>
                    </w:rPr>
                    <w:t xml:space="preserve">Суетский</w:t>
                  </w:r>
                  <w:r>
                    <w:rPr>
                      <w:sz w:val="28"/>
                      <w:szCs w:val="28"/>
                    </w:rPr>
                    <w:t xml:space="preserve"> район Алтайского края»</w:t>
                  </w:r>
                  <w:r>
                    <w:rPr>
                      <w:rStyle w:val="848"/>
                      <w:color w:val="000000"/>
                      <w:szCs w:val="28"/>
                    </w:rPr>
                  </w:r>
                  <w:r>
                    <w:rPr>
                      <w:rStyle w:val="848"/>
                      <w:color w:val="000000"/>
                      <w:szCs w:val="28"/>
                    </w:rPr>
                  </w:r>
                </w:p>
              </w:tc>
              <w:tc>
                <w:tcPr>
                  <w:tcW w:w="47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rStyle w:val="848"/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</w:r>
                  <w:r>
                    <w:rPr>
                      <w:rStyle w:val="848"/>
                      <w:b/>
                      <w:color w:val="000000"/>
                      <w:szCs w:val="28"/>
                    </w:rPr>
                  </w:r>
                  <w:r>
                    <w:rPr>
                      <w:rStyle w:val="848"/>
                      <w:b/>
                      <w:color w:val="000000"/>
                      <w:szCs w:val="28"/>
                    </w:rPr>
                  </w:r>
                </w:p>
              </w:tc>
            </w:tr>
          </w:tbl>
          <w:p>
            <w:pPr>
              <w:spacing w:line="480" w:lineRule="auto"/>
              <w:tabs>
                <w:tab w:val="left" w:pos="3685" w:leader="none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240" w:lineRule="atLeast"/>
        <w:rPr>
          <w:rStyle w:val="848"/>
          <w:color w:val="000000"/>
          <w:szCs w:val="28"/>
        </w:rPr>
      </w:pPr>
      <w:r>
        <w:rPr>
          <w:color w:val="000000"/>
          <w:szCs w:val="28"/>
        </w:rPr>
      </w:r>
      <w:r>
        <w:rPr>
          <w:rStyle w:val="848"/>
          <w:color w:val="000000"/>
          <w:szCs w:val="28"/>
        </w:rPr>
      </w:r>
      <w:r>
        <w:rPr>
          <w:rStyle w:val="848"/>
          <w:color w:val="000000"/>
          <w:szCs w:val="28"/>
        </w:rPr>
      </w:r>
    </w:p>
    <w:p>
      <w:pPr>
        <w:ind w:firstLine="709"/>
        <w:jc w:val="both"/>
        <w:spacing w:line="240" w:lineRule="atLeast"/>
        <w:rPr>
          <w:rStyle w:val="848"/>
          <w:color w:val="000000"/>
          <w:szCs w:val="28"/>
        </w:rPr>
      </w:pPr>
      <w:r>
        <w:rPr>
          <w:color w:val="000000"/>
          <w:szCs w:val="28"/>
        </w:rPr>
      </w:r>
      <w:r>
        <w:rPr>
          <w:rStyle w:val="848"/>
          <w:color w:val="000000"/>
          <w:szCs w:val="28"/>
        </w:rPr>
      </w:r>
      <w:r>
        <w:rPr>
          <w:rStyle w:val="848"/>
          <w:color w:val="000000"/>
          <w:szCs w:val="28"/>
        </w:rPr>
      </w:r>
    </w:p>
    <w:p>
      <w:pPr>
        <w:ind w:firstLine="709"/>
        <w:jc w:val="both"/>
        <w:spacing w:line="240" w:lineRule="atLeast"/>
        <w:rPr>
          <w:rStyle w:val="848"/>
          <w:color w:val="000000"/>
          <w:szCs w:val="28"/>
        </w:rPr>
      </w:pPr>
      <w:r>
        <w:rPr>
          <w:color w:val="000000"/>
          <w:szCs w:val="28"/>
        </w:rPr>
      </w:r>
      <w:r>
        <w:rPr>
          <w:rStyle w:val="848"/>
          <w:color w:val="000000"/>
          <w:szCs w:val="28"/>
        </w:rPr>
      </w:r>
      <w:r>
        <w:rPr>
          <w:rStyle w:val="848"/>
          <w:color w:val="000000"/>
          <w:szCs w:val="28"/>
        </w:rPr>
      </w:r>
    </w:p>
    <w:p>
      <w:pPr>
        <w:ind w:left="0" w:right="0" w:firstLine="709"/>
        <w:jc w:val="both"/>
        <w:spacing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48"/>
          <w:color w:val="000000"/>
          <w:szCs w:val="28"/>
        </w:rPr>
        <w:t xml:space="preserve"> </w:t>
      </w:r>
      <w:r>
        <w:rPr>
          <w:rStyle w:val="848"/>
          <w:color w:val="000000"/>
          <w:szCs w:val="28"/>
        </w:rPr>
        <w:t xml:space="preserve"> </w:t>
      </w:r>
      <w:r>
        <w:rPr>
          <w:rStyle w:val="848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частью 5 ст. 36 Федерального закона от 20.03.2025 № 33-ФЗ «Об общих принципах организации местно</w:t>
      </w:r>
      <w:r>
        <w:rPr>
          <w:rStyle w:val="848"/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самоуправления в Ро</w:t>
      </w:r>
      <w:r>
        <w:rPr>
          <w:rStyle w:val="848"/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ссийской Федерации»,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 (далее – Основы формирования индексов), указом Губернатора Алтайского края от 15.12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.2025 №206 «О предельных (максимальных) индексах изменения размера вносимой гражданами платы за коммунальные услуги в муниципальных образованиях Алтайского края на 2026 год» с целью обеспечения дополнительных мер социальной поддержки потребителям коммуналь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ных услуг для обеспечения соблюдения установленных предельных индексов изменения платы граждан за коммунальные услуги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муниципальный округ Суетский район Алтайского края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48"/>
          <w:color w:val="000000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48"/>
          <w:color w:val="000000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line="240" w:lineRule="atLeast"/>
        <w:rPr>
          <w:rStyle w:val="848"/>
          <w:color w:val="000000"/>
        </w:rPr>
      </w:pPr>
      <w:r>
        <w:rPr>
          <w:rStyle w:val="848"/>
          <w:color w:val="000000"/>
          <w:szCs w:val="28"/>
          <w:highlight w:val="none"/>
        </w:rPr>
      </w:r>
      <w:r>
        <w:rPr>
          <w:rStyle w:val="848"/>
          <w:color w:val="000000"/>
        </w:rPr>
      </w:r>
      <w:r>
        <w:rPr>
          <w:rStyle w:val="848"/>
          <w:color w:val="000000"/>
        </w:rPr>
      </w:r>
    </w:p>
    <w:p>
      <w:pPr>
        <w:ind w:firstLine="709"/>
        <w:jc w:val="center"/>
        <w:spacing w:line="240" w:lineRule="atLeast"/>
        <w:rPr>
          <w:rStyle w:val="848"/>
          <w:color w:val="000000"/>
          <w:highlight w:val="none"/>
        </w:rPr>
      </w:pPr>
      <w:r>
        <w:rPr>
          <w:rStyle w:val="848"/>
          <w:color w:val="000000"/>
          <w:szCs w:val="28"/>
        </w:rPr>
        <w:t xml:space="preserve">ПОСТАНОВЛЯЮ:</w:t>
      </w:r>
      <w:r>
        <w:rPr>
          <w:rStyle w:val="848"/>
          <w:color w:val="000000"/>
          <w:highlight w:val="none"/>
        </w:rPr>
      </w:r>
      <w:r>
        <w:rPr>
          <w:rStyle w:val="848"/>
          <w:color w:val="000000"/>
          <w:highlight w:val="none"/>
        </w:rPr>
      </w:r>
    </w:p>
    <w:p>
      <w:pPr>
        <w:ind w:firstLine="709"/>
        <w:jc w:val="both"/>
        <w:spacing w:line="240" w:lineRule="atLeast"/>
        <w:rPr>
          <w:rStyle w:val="848"/>
          <w:color w:val="000000"/>
          <w:szCs w:val="28"/>
        </w:rPr>
      </w:pPr>
      <w:r>
        <w:rPr>
          <w:color w:val="000000"/>
          <w:szCs w:val="28"/>
        </w:rPr>
      </w:r>
      <w:r>
        <w:rPr>
          <w:rStyle w:val="848"/>
          <w:color w:val="000000"/>
          <w:szCs w:val="28"/>
        </w:rPr>
      </w:r>
      <w:r>
        <w:rPr>
          <w:rStyle w:val="848"/>
          <w:color w:val="000000"/>
          <w:szCs w:val="28"/>
        </w:rPr>
      </w:r>
    </w:p>
    <w:p>
      <w:pPr>
        <w:numPr>
          <w:ilvl w:val="0"/>
          <w:numId w:val="1"/>
        </w:numPr>
        <w:ind w:left="0" w:firstLine="648"/>
        <w:jc w:val="both"/>
        <w:spacing w:line="240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</w:t>
      </w:r>
      <w:r>
        <w:rPr>
          <w:sz w:val="28"/>
          <w:szCs w:val="28"/>
        </w:rPr>
        <w:t xml:space="preserve">ие Администрации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 район Алтайского края от 10.01.2023 г. №7</w:t>
      </w:r>
      <w:r>
        <w:rPr>
          <w:sz w:val="28"/>
          <w:szCs w:val="28"/>
        </w:rPr>
        <w:t xml:space="preserve"> «Об утверждении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</w:t>
      </w:r>
      <w:r>
        <w:rPr>
          <w:sz w:val="28"/>
          <w:szCs w:val="28"/>
        </w:rPr>
        <w:t xml:space="preserve">йского края»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 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 1.4.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территории муниципального округа Суетский район Алтайского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Положение)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«1.4. Органом, ответственным за выплату Компенсации за уголь, дрова в целях печного отопления,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муниципального округа Суетский район Алтайского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Органом, ответственным за начисление и выплату Компенсации за коммунальные услуги, предоставляемые потребителям МУП «Теплоснаб» муниципального округа Суетский район Алтайского края,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муниципального округа Суетский  район Алтайского края.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1.2 Пункт 1.7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Положения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«1.7 </w:t>
      </w:r>
      <w:r>
        <w:rPr>
          <w:sz w:val="28"/>
          <w:szCs w:val="28"/>
        </w:rPr>
        <w:t xml:space="preserve">При расчете компенсации учитывается плата за коммунальные услуги, рост регулируемых цен (тарифов) по которым по отношению к базовому месяцу превышает уровень утвержденного предельного индекса платы граждан за коммунальные услуги для соответствующего муници</w:t>
      </w:r>
      <w:r>
        <w:rPr>
          <w:sz w:val="28"/>
          <w:szCs w:val="28"/>
        </w:rPr>
        <w:t xml:space="preserve">пального образования. В целях реализации настоящего Положения используются следующие понятия:  базовый месяц для расчета компенсаций с 01.01.2026г. - декабрь 2025 года; базовый месяц для расчета компенсаций с 01.10.2026г - январь 2026г; расчетный месяц - </w:t>
      </w:r>
      <w:r>
        <w:rPr>
          <w:sz w:val="28"/>
          <w:szCs w:val="28"/>
        </w:rPr>
        <w:t xml:space="preserve">месяц, за который производится начисление платежа за коммунальную услугу (для твердого топлива - месяц, соответствующий дате приобретения).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 Пункт 2.1 Положения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1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«2.1. МУП  «Теплоснаб» муниципальн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округа Суетский район Алтайского края, предоставляющее населению коммунальные услуги (кроме реализации угля, дров в целях печного отопления), ежемесячно одиннадцатого числа месяца следующего за месяцем, за который будет начислена компенсация, предостав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ляет в электронном виде в Администрацию муни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ципального округа Суетский район Алтайского края информацию о начислении платежей за коммунальные услуги для потребителей категории «население» муниципального округа Суетский район Алтайского края в соответствии с Приложением 1 к настоящему Положению, с 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азанием потребителей, по которым имеется задолженность по оплате коммунальных услуг более двух месяцев.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850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Пункт 2.2 Положения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31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«2.2 Адм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инистрация муниципального округа Суетский район Алтайского края на основе информации, полученной в соответствии с пунктом 2.1. настоящего Положения, не позднее трех рабочих дней со дня получения указанной информации от МУП «Теплоснаб» формирует реестр 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чателей.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31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Не позднее пяти рабочих дней со дня формирования реестра Получателей компенсации за коммунальные услуги, предоставленные МУП «Теплоснаб»,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перечисляет денежные средства Получателю.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57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1.5. Пункт 2.3 Положения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«2.3 </w:t>
      </w:r>
      <w:r>
        <w:rPr>
          <w:rStyle w:val="848"/>
        </w:rPr>
        <w:t xml:space="preserve">Компенсация на оплату угля</w:t>
      </w:r>
      <w:r>
        <w:rPr>
          <w:rStyle w:val="848"/>
        </w:rPr>
        <w:t xml:space="preserve">, дров</w:t>
      </w:r>
      <w:r>
        <w:rPr>
          <w:rStyle w:val="848"/>
        </w:rPr>
        <w:t xml:space="preserve"> в целях печного отопления </w:t>
      </w:r>
      <w:r>
        <w:rPr>
          <w:rStyle w:val="848"/>
          <w:sz w:val="28"/>
          <w:szCs w:val="28"/>
        </w:rPr>
        <w:t xml:space="preserve">начисляется и выплачивается </w:t>
      </w:r>
      <w:r>
        <w:rPr>
          <w:sz w:val="28"/>
          <w:szCs w:val="28"/>
        </w:rPr>
        <w:t xml:space="preserve">в срок до 20 числа месяца, следующего за месяцем предоставления полного пакета документов</w:t>
      </w:r>
      <w:r>
        <w:rPr>
          <w:rStyle w:val="848"/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31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1.6. Пункт 2.4 Положения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317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«2.4 Администрация муниципального округа Суетский район Алтайского края  предоставляет по запросу Получателей информацию о размере рассчитанных Компенсаций».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1.7. Приложение 2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края»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31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Постановление Администрации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 от 12.02.2025 №27 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округа </w:t>
      </w:r>
      <w:r>
        <w:rPr>
          <w:sz w:val="28"/>
          <w:szCs w:val="28"/>
        </w:rPr>
        <w:t xml:space="preserve">Суеский</w:t>
      </w:r>
      <w:r>
        <w:rPr>
          <w:sz w:val="28"/>
          <w:szCs w:val="28"/>
        </w:rPr>
        <w:t xml:space="preserve"> район Алтайского края  № 7 от 10.01.2023 года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края»</w:t>
      </w:r>
      <w:r>
        <w:rPr>
          <w:sz w:val="28"/>
          <w:szCs w:val="28"/>
        </w:rPr>
        <w:t xml:space="preserve"> считать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Настоящее постановление распространяет свое действие на правоотношения, возникшие с 01.01.2026г.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районной газете «Сельский труженик» и обнародовать на официальном сайте Администрации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исполнением данного постановления возложить </w:t>
        <w:br/>
        <w:t xml:space="preserve">на </w:t>
      </w:r>
      <w:r>
        <w:rPr>
          <w:sz w:val="28"/>
          <w:szCs w:val="28"/>
        </w:rPr>
        <w:t xml:space="preserve">замест</w:t>
      </w:r>
      <w:r>
        <w:rPr>
          <w:sz w:val="28"/>
          <w:szCs w:val="28"/>
        </w:rPr>
        <w:t xml:space="preserve">ителя главы Администрации муниципального округа по экономике, председателя</w:t>
      </w:r>
      <w:r>
        <w:rPr>
          <w:sz w:val="28"/>
          <w:szCs w:val="28"/>
        </w:rPr>
        <w:t xml:space="preserve"> комитета по финансам</w:t>
      </w:r>
      <w:r>
        <w:rPr>
          <w:b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Геращенко С.Н.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atLeast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atLeast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atLeast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Н.Н.Долгова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spacing w:line="240" w:lineRule="atLeast"/>
        <w:tabs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Тарифы на коммунальные услуги, 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обеспечивающие соблюдение предельного индекса изменения размера 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платы граждан 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за коммунальные услуги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– «Допустимый тариф» для коммунальных услуг, «Допустимая цена» - для твердого топлива) </w:t>
      </w:r>
      <w:r>
        <w:rPr>
          <w:sz w:val="26"/>
          <w:szCs w:val="26"/>
        </w:rPr>
        <w:t xml:space="preserve">применяются при расчете размера компенсации за коммунальные услуги «С</w:t>
      </w:r>
      <w:r>
        <w:rPr>
          <w:sz w:val="26"/>
          <w:szCs w:val="26"/>
          <w:vertAlign w:val="subscript"/>
        </w:rPr>
        <w:t xml:space="preserve">»</w:t>
      </w:r>
      <w:r>
        <w:rPr>
          <w:sz w:val="26"/>
          <w:szCs w:val="26"/>
        </w:rPr>
        <w:t xml:space="preserve"> согласно п. 3.3.1 и 3.3.2 настоящего Положения)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20"/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Таблица 1. 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contextualSpacing/>
        <w:ind w:firstLine="720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Допустимые тарифы на коммунальные услуги,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contextualSpacing/>
        <w:ind w:firstLine="720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подлежащие компенсации гражданам в соответствии с п. 1.6 настоящего Положения,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contextualSpacing/>
        <w:ind w:firstLine="72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за исключением реализации твердого топлива в целях печного отопления.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3"/>
        <w:gridCol w:w="1889"/>
        <w:gridCol w:w="1973"/>
        <w:gridCol w:w="1918"/>
        <w:gridCol w:w="1473"/>
        <w:gridCol w:w="1644"/>
      </w:tblGrid>
      <w:tr>
        <w:tblPrEx/>
        <w:trPr>
          <w:jc w:val="center"/>
        </w:trPr>
        <w:tc>
          <w:tcPr>
            <w:shd w:val="clear" w:color="auto" w:fill="auto"/>
            <w:tcW w:w="5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W w:w="18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Вид коммунальной услуги</w:t>
            </w:r>
            <w:r>
              <w:rPr>
                <w:sz w:val="26"/>
                <w:szCs w:val="26"/>
                <w:lang w:val="en-US"/>
              </w:rPr>
              <w:t xml:space="preserve"> i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W w:w="1979" w:type="dxa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Наименование поставщика коммунальных услуг; наименование сельсовета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</w:p>
        </w:tc>
        <w:tc>
          <w:tcPr>
            <w:shd w:val="clear" w:color="auto" w:fill="auto"/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  <w:lang w:val="en-US"/>
              </w:rPr>
              <w:t xml:space="preserve">i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Расчетный период: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01.01.2026 – 30.09.2026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  <w:lang w:val="en-US"/>
              </w:rPr>
              <w:t xml:space="preserve">i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Расчетный период: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01.10.2026-30.06.2027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6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Ед. изм.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  <w:lang w:val="en-US"/>
              </w:rPr>
              <w:t xml:space="preserve">i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05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89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Отопление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979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МУП «</w:t>
            </w:r>
            <w:r>
              <w:rPr>
                <w:sz w:val="26"/>
                <w:szCs w:val="26"/>
              </w:rPr>
              <w:t xml:space="preserve">Теплоснаб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4749,13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668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руб./Гкал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189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Водоснабжение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197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МУП «</w:t>
            </w:r>
            <w:r>
              <w:rPr>
                <w:sz w:val="26"/>
                <w:szCs w:val="26"/>
              </w:rPr>
              <w:t xml:space="preserve">Теплоснаб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56,14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166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6"/>
                <w:szCs w:val="26"/>
              </w:rPr>
              <w:t xml:space="preserve">руб./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</w:tr>
    </w:tbl>
    <w:p>
      <w:pPr>
        <w:contextualSpacing/>
        <w:ind w:firstLine="720"/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contextualSpacing/>
        <w:ind w:firstLine="720"/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Таблица 2. </w:t>
      </w:r>
      <w:r>
        <w:rPr>
          <w:color w:val="000000"/>
          <w:sz w:val="26"/>
          <w:szCs w:val="26"/>
          <w:shd w:val="clear" w:color="auto" w:fill="ffffff"/>
        </w:rPr>
        <w:t xml:space="preserve">Допустимые цены на твердое топливо в целях печного отопления.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tbl>
      <w:tblPr>
        <w:tblW w:w="0" w:type="auto"/>
        <w:jc w:val="center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76"/>
        <w:gridCol w:w="2829"/>
        <w:gridCol w:w="2216"/>
        <w:gridCol w:w="1473"/>
        <w:gridCol w:w="2424"/>
      </w:tblGrid>
      <w:tr>
        <w:tblPrEx/>
        <w:trPr>
          <w:jc w:val="center"/>
        </w:trPr>
        <w:tc>
          <w:tcPr>
            <w:shd w:val="clear" w:color="auto" w:fill="auto"/>
            <w:tcW w:w="11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W w:w="282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твердого топлива в целях печного отопления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2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</w:rPr>
              <w:t xml:space="preserve">тт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Расчетный период: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01.01.2026 – 30.09.2026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7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  <w:lang w:val="en-US"/>
              </w:rPr>
              <w:t xml:space="preserve">i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Расчетный период: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01.10.2026-30.06.2027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</w:p>
        </w:tc>
        <w:tc>
          <w:tcPr>
            <w:shd w:val="clear" w:color="auto" w:fill="auto"/>
            <w:tcW w:w="242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Ед. изм.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</w:t>
            </w:r>
            <w:r>
              <w:rPr>
                <w:sz w:val="26"/>
                <w:szCs w:val="26"/>
                <w:vertAlign w:val="superscript"/>
              </w:rPr>
              <w:t xml:space="preserve">доп</w:t>
            </w:r>
            <w:r>
              <w:rPr>
                <w:sz w:val="26"/>
                <w:szCs w:val="26"/>
                <w:vertAlign w:val="subscript"/>
              </w:rPr>
              <w:t xml:space="preserve">тт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17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82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Уголь рядовой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216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7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5655,63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руб./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17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82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Уголь сортовой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216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6260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7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6961,12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руб./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17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82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Уголь концентрат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216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6535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7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7266,92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руб./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17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82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2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73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2102,79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руб./м</w:t>
            </w:r>
            <w:r>
              <w:rPr>
                <w:sz w:val="26"/>
                <w:szCs w:val="26"/>
                <w:vertAlign w:val="superscript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4"/>
    <w:uiPriority w:val="34"/>
    <w:qFormat/>
    <w:pPr>
      <w:contextualSpacing/>
      <w:ind w:left="720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5"/>
    <w:link w:val="853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5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Основной текст (2)_"/>
    <w:link w:val="849"/>
    <w:uiPriority w:val="99"/>
    <w:rPr>
      <w:sz w:val="28"/>
      <w:shd w:val="clear" w:color="auto" w:fill="ffffff"/>
    </w:rPr>
  </w:style>
  <w:style w:type="paragraph" w:styleId="849" w:customStyle="1">
    <w:name w:val="Основной текст (2)1"/>
    <w:basedOn w:val="844"/>
    <w:link w:val="848"/>
    <w:uiPriority w:val="99"/>
    <w:pPr>
      <w:jc w:val="both"/>
      <w:spacing w:before="420" w:line="320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2"/>
      <w:lang w:eastAsia="en-US"/>
    </w:rPr>
  </w:style>
  <w:style w:type="paragraph" w:styleId="850">
    <w:name w:val="Body Text"/>
    <w:basedOn w:val="844"/>
    <w:link w:val="851"/>
    <w:uiPriority w:val="99"/>
    <w:rPr>
      <w:sz w:val="28"/>
      <w:szCs w:val="20"/>
    </w:rPr>
  </w:style>
  <w:style w:type="character" w:styleId="851" w:customStyle="1">
    <w:name w:val="Основной текст Знак"/>
    <w:basedOn w:val="845"/>
    <w:link w:val="85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3">
    <w:name w:val="Header"/>
    <w:basedOn w:val="844"/>
    <w:link w:val="854"/>
    <w:uiPriority w:val="99"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5"/>
    <w:link w:val="8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Balloon Text"/>
    <w:basedOn w:val="844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5"/>
    <w:link w:val="855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Deputati</dc:creator>
  <cp:lastModifiedBy>specogr</cp:lastModifiedBy>
  <cp:revision>16</cp:revision>
  <dcterms:created xsi:type="dcterms:W3CDTF">2024-01-18T09:19:00Z</dcterms:created>
  <dcterms:modified xsi:type="dcterms:W3CDTF">2026-02-16T08:07:08Z</dcterms:modified>
</cp:coreProperties>
</file>