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14097" w:rsidRDefault="00A31316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</w:t>
      </w:r>
      <w:r w:rsidR="00BE7AF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.07.2023</w:t>
      </w:r>
    </w:p>
    <w:p w:rsidR="00BE7AFF" w:rsidRPr="00BE7AFF" w:rsidRDefault="00BE7AFF" w:rsidP="00BE7AF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/>
          <w:bCs/>
          <w:sz w:val="28"/>
          <w:szCs w:val="28"/>
        </w:rPr>
        <w:t>Заголовок</w:t>
      </w:r>
    </w:p>
    <w:p w:rsidR="00BE7AFF" w:rsidRPr="00BE7AFF" w:rsidRDefault="00BE7AFF" w:rsidP="00BE7AF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BE7A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реализации мероприятий государственной программы «Национальная система пространственных данных» в Алтайском крае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7AFF" w:rsidRPr="00BE7AFF" w:rsidRDefault="00BE7AFF" w:rsidP="00BE7AF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/>
          <w:bCs/>
          <w:sz w:val="28"/>
          <w:szCs w:val="28"/>
        </w:rPr>
        <w:t>Текст</w:t>
      </w:r>
    </w:p>
    <w:p w:rsidR="00BE7AFF" w:rsidRPr="00BE7AFF" w:rsidRDefault="00BE7AFF" w:rsidP="00BE7AF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Алтайский край стал одним из пилотных регионов, участвующим в реализации мероприятий государственной программы Российской Федерации «Национальная система пространственных данных», утвержденной постановлением Правительства Российской Федерации от 01.12.2021 № 2148. 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Основой НСПД являются две информационные системы - Единая электронная картографическая основа и Федеральный портал пространственных данных. Данные системы создаются в рамках национального проекта «Цифровая экономика».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В регионе проводятся мероприятия по наполнению Единого государственного реестра недвижимости (ЕГРН) полными и точными сведениями, в том числе об объектах реестра границ: границах административно-территориального деления и территориальных зонах, особо охраняемых природных территориях (ООПТ), объектах культурного наследия (ОКН) и их территориях, зонах затопления и подтопления.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По состоянию на 01.07.2023 в Алтайском крае в ЕГРН внесены сведения о границах: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между Алтайским краем и тремя смежными субъектами Российской Федерации (Республикой Алтай, Кемеровской областью-Кузбассом, Новосибирской областью) в полном объеме (100%);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- 694 муниципальных образований, входящих в состав Алтайского края в полном объеме (100%);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особой экономической зоны туристско-рекреационного типа «Бирюзовая Катунь» в полном объеме (100%);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игорной зоны «Сибирская монета» в полном объеме (100%);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- 1443 населенных пунктов (89,1% от общего количества -1605);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- 4273 территориальных зон (72,9% от общего количества - 5864);</w:t>
      </w:r>
    </w:p>
    <w:p w:rsidR="00BE7AFF" w:rsidRPr="00BE7AFF" w:rsidRDefault="00BE7AFF" w:rsidP="00BE7AF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- 120 особо охраняемых природных территорий (94,5% от общего количества - 127), из них: 116 ООПТ регионального значения (97,5% от общего количества - 119), 2 ООПТ федерального значения (50% от общего количества - 4), 2 ООПТ местного значения (50% от общего количества - 4);</w:t>
      </w:r>
    </w:p>
    <w:p w:rsidR="00BE7AFF" w:rsidRPr="00BE7AFF" w:rsidRDefault="00BE7AFF" w:rsidP="00BE7AF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- 1916 территорий объектов культурного наследия (99,9% от общего количества - 1917), из них: 157 территорий ОКН федерального значения (100%), 1759 территорий ОКН регионального значения (99,9% от общего количества - 1760);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- 160 зонах затопления и 14 подтопления (99,4% от общего количества - 161).</w:t>
      </w:r>
    </w:p>
    <w:p w:rsidR="00BE7AFF" w:rsidRPr="00BE7AFF" w:rsidRDefault="00BE7AFF" w:rsidP="00BE7A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В ЕГРН внесены сведения о 1485 объектах культурного наследия (90,2% от общего количества 1646).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 xml:space="preserve">Как отметила заместитель руководителя Управления Росреестра </w:t>
      </w:r>
      <w:r w:rsidRPr="00BE7AFF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по Алтайскому краю Бандурова Е.В. – </w:t>
      </w:r>
      <w:r w:rsidRPr="00BE7AF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«Создание НСПД позволит объединить </w:t>
      </w:r>
      <w:r w:rsidRPr="00BE7AFF">
        <w:rPr>
          <w:rFonts w:ascii="Times New Roman" w:eastAsia="Calibri" w:hAnsi="Times New Roman" w:cs="Times New Roman"/>
          <w:bCs/>
          <w:i/>
          <w:sz w:val="28"/>
          <w:szCs w:val="28"/>
        </w:rPr>
        <w:br/>
        <w:t>и структурировать пространственные данные и обеспечить их доступность. Наполнение ЕГРН полными и точными сведениями поможет заинтересованным лицам своевременно получать информацию о правовом режиме использования участка, а также узнавать об ограничениях и запретах на ведение деятельности, что, в свою очередь, исключает нарушения законодательства при планировании развития таких территорий и способствует формированию благоприятных условий для ведения бизнеса»</w:t>
      </w:r>
      <w:r w:rsidRPr="00BE7AF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Pr="00914097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sectPr w:rsidR="00A31316" w:rsidRPr="00914097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C2" w:rsidRDefault="00A12DC2">
      <w:pPr>
        <w:spacing w:after="0" w:line="240" w:lineRule="auto"/>
      </w:pPr>
      <w:r>
        <w:separator/>
      </w:r>
    </w:p>
  </w:endnote>
  <w:endnote w:type="continuationSeparator" w:id="0">
    <w:p w:rsidR="00A12DC2" w:rsidRDefault="00A1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C2" w:rsidRDefault="00A12DC2">
      <w:pPr>
        <w:spacing w:after="0" w:line="240" w:lineRule="auto"/>
      </w:pPr>
      <w:r>
        <w:separator/>
      </w:r>
    </w:p>
  </w:footnote>
  <w:footnote w:type="continuationSeparator" w:id="0">
    <w:p w:rsidR="00A12DC2" w:rsidRDefault="00A1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F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661C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2F6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2DC2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E7AFF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A190-D188-4BB6-9FB3-E66EB55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3</cp:revision>
  <cp:lastPrinted>2023-07-10T12:48:00Z</cp:lastPrinted>
  <dcterms:created xsi:type="dcterms:W3CDTF">2023-07-14T09:43:00Z</dcterms:created>
  <dcterms:modified xsi:type="dcterms:W3CDTF">2023-07-14T09:44:00Z</dcterms:modified>
</cp:coreProperties>
</file>