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0135167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37"/>
        <w:jc w:val="right"/>
        <w:rPr>
          <w:rFonts w:eastAsia="Calibri"/>
          <w:highlight w:val="none"/>
        </w:rPr>
      </w:pPr>
      <w:r>
        <w:rPr>
          <w:rFonts w:eastAsia="Calibri"/>
          <w:bCs/>
          <w:szCs w:val="28"/>
        </w:rPr>
        <w:t xml:space="preserve">28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  <w:r/>
    </w:p>
    <w:p>
      <w:pPr>
        <w:pStyle w:val="1_637"/>
        <w:jc w:val="right"/>
      </w:pPr>
      <w:r>
        <w:rPr>
          <w:rFonts w:eastAsia="Calibri"/>
          <w:bCs/>
          <w:szCs w:val="28"/>
          <w:highlight w:val="none"/>
        </w:rPr>
      </w:r>
      <w:r>
        <w:rPr>
          <w:rFonts w:eastAsia="Calibri"/>
          <w:bCs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b/>
          <w:bCs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Для размещения в социальных сетях и на сайте Управления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Предостережение – это не предписание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октябре-ноябре 2024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 Росреестра по Алтайскому краю отмечает значительный рост количества поступающих возражений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объявленные предостережения о недопустимости нарушения обязательных требований.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Анализ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поступивших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возражений показывает,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правообладатели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реагируют на объявление предостережения как на выдачу обязательного к исполнению в установленный срок предписания. Но это разные документы, имеющие принципиально разные правовые последствия для землепользователей.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Напомним основное различие эти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х документов: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0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ыдача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предписания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предусмотрена п. 1 ч. 2 ст. 90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0"/>
          <w:highlight w:val="white"/>
        </w:rPr>
        <w:t xml:space="preserve">едписание об устранении выявленных нарушений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выдается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в случае выявления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нарушений обязательных требований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при проведении контрольного (надзорного) мероприятия во взаимодействии с контролируемым лицом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Предписание является обязательным к исполнению. 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За н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евыполнение в установленный срок предписаний федеральных органов, осуществляющих государственный земельный надзор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административная ответственность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ч. 25 ст. 19.5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Органы государственного земельного надзора осуществляют контроль исполнения выданных предписаний.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Объявление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предостережения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предусмотрено ч. 1 ст. 49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Федерального закона  № 248-ФЗ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 случаях наличия у контрольного органа сведений о готовящихся (возможных) нарушениях обязательных требований или признаках нарушений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Объявлением предостереже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ния Управление не констатирует факт наличия нарушения, а лишь разъясняет требования земельного законодательства и уведомляет об их обязательном соблюдении при использовании земельных участков. Срок, указываемый в предостережении, является рекомендованным.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Предостережение не содержит требований, обязательных к исполнению.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Само по себе объявление предостережения не влечет негативных правовых послед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ствий для землепользователей, его основная задача – предостеречь собственника земли от совершения правонарушения. Контроль исполнения рекомендаций, данных в предостережении, не осуществляется, их соблюдение находится в зоне ответственности правообладателя.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_63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73000" cy="47730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24974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772999" cy="4772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75.83pt;height:375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</w:p>
    <w:p>
      <w:pPr>
        <w:pStyle w:val="1_63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1_63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3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3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37"/>
      </w:pPr>
      <w:r/>
      <w:hyperlink r:id="rId10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1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2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1_637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2024-11-28T10:18:12Z</dcterms:modified>
</cp:coreProperties>
</file>