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2"/>
        <w:jc w:val="center"/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О реализации Управлением Росреестра по Алтайскому краю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полномочий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в сфере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контроля (надзора) за деятельностью арбитражных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управляющих,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  <w:t xml:space="preserve">при соблюдении ими трудовых прав граждан</w:t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r>
      <w:r>
        <w:rPr>
          <w:rStyle w:val="865"/>
          <w:b/>
          <w:bCs/>
          <w:i w:val="0"/>
          <w:color w:val="000000"/>
          <w:sz w:val="28"/>
          <w:szCs w:val="28"/>
          <w:shd w:val="clear" w:color="auto" w:fill="ffffff"/>
        </w:rPr>
      </w:r>
    </w:p>
    <w:p>
      <w:pPr>
        <w:pStyle w:val="852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Управлением Росреестра по Алтайскому краю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взята на особый контроль ситуация в отношении предприятий, находящихся в стадии банкротства и имеющих задолженность по заработной плате.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Сотрудниками Управления принимается активное участ</w:t>
      </w:r>
      <w:r>
        <w:rPr>
          <w:sz w:val="28"/>
          <w:szCs w:val="28"/>
        </w:rPr>
        <w:t xml:space="preserve">ие в рабочих группах и совещаниях, посвященных урегулированию ситуации с задолженностью по заработной плате в Алтайском крае: участие в работах комиссий; в собраниях кредиторов; в судебных заседаниях; участие в совместных проверках с органами прокуратуры; </w:t>
      </w:r>
      <w:r>
        <w:rPr>
          <w:sz w:val="28"/>
          <w:szCs w:val="28"/>
        </w:rPr>
        <w:t xml:space="preserve">информационное </w:t>
      </w:r>
      <w:r>
        <w:rPr>
          <w:sz w:val="28"/>
          <w:szCs w:val="28"/>
        </w:rPr>
        <w:t xml:space="preserve">взаимодействие с Управлением Федеральной налоговой службы по Алтайскому краю.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  <w:t xml:space="preserve">В 2024 году, в целях реализации полномочий Управления </w:t>
      </w:r>
      <w:r>
        <w:rPr>
          <w:sz w:val="28"/>
          <w:szCs w:val="28"/>
        </w:rPr>
        <w:br/>
        <w:t xml:space="preserve">в установленной сфере деятельности и участия </w:t>
      </w:r>
      <w:r>
        <w:rPr>
          <w:sz w:val="28"/>
          <w:szCs w:val="28"/>
        </w:rPr>
        <w:t xml:space="preserve">в ликвидации задолженности по заработной плате в организациях, находящихся </w:t>
      </w:r>
      <w:r>
        <w:rPr>
          <w:sz w:val="28"/>
          <w:szCs w:val="28"/>
        </w:rPr>
        <w:t xml:space="preserve">в процедурах банкротства, на контроль было поставлено 24 предприятия, имеющих задолженность по заработной плате, в связи с чем на постоянной основе обеспечено осуществление монит</w:t>
      </w:r>
      <w:r>
        <w:rPr>
          <w:sz w:val="28"/>
          <w:szCs w:val="28"/>
        </w:rPr>
        <w:t xml:space="preserve">оринга за соблюдением арбитражными управляющими обязанностей, установленных Законом </w:t>
      </w:r>
      <w:r>
        <w:rPr>
          <w:sz w:val="28"/>
          <w:szCs w:val="28"/>
        </w:rPr>
        <w:t xml:space="preserve">о банкротстве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«Управление активно вовлечено в урегулирование проблемы задолженности по заработной плате в Алтайском крае. Для этого принимаются различные меры, включая</w:t>
      </w:r>
      <w:r>
        <w:rPr>
          <w:sz w:val="28"/>
          <w:szCs w:val="28"/>
        </w:rPr>
        <w:t xml:space="preserve"> постоянный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 xml:space="preserve">деятельност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арбитражных управляющих, по результатам которого</w:t>
      </w:r>
      <w:r>
        <w:rPr>
          <w:sz w:val="28"/>
          <w:szCs w:val="28"/>
        </w:rPr>
        <w:t xml:space="preserve"> проводится анализ деятельности </w:t>
      </w:r>
      <w:r>
        <w:rPr>
          <w:sz w:val="28"/>
          <w:szCs w:val="28"/>
        </w:rPr>
        <w:t xml:space="preserve">арбитражных управляющих</w:t>
      </w:r>
      <w:r>
        <w:rPr>
          <w:sz w:val="28"/>
          <w:szCs w:val="28"/>
        </w:rPr>
        <w:t xml:space="preserve">, с целью выявления допускаемых </w:t>
      </w:r>
      <w:r>
        <w:rPr>
          <w:sz w:val="28"/>
          <w:szCs w:val="28"/>
        </w:rPr>
        <w:t xml:space="preserve">арбитражными управляющими </w:t>
      </w:r>
      <w:r>
        <w:rPr>
          <w:sz w:val="28"/>
          <w:szCs w:val="28"/>
        </w:rPr>
        <w:t xml:space="preserve">правонарушений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2024 году Управление совместно с органами прокуратуры Алтайского края приняло участие в проверках исполнения законодательства о банкротстве 18 </w:t>
      </w:r>
      <w:r>
        <w:rPr>
          <w:sz w:val="28"/>
          <w:szCs w:val="28"/>
        </w:rPr>
        <w:t xml:space="preserve">организаций, имеющих задолженность по заработной плате и признанных судом несостоятельными (банкротами).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 результатам проведенных проверок выявлены нарушения в действиях (бездействии) 9 арбитражных управляющи</w:t>
      </w:r>
      <w:r>
        <w:rPr>
          <w:sz w:val="28"/>
          <w:szCs w:val="28"/>
        </w:rPr>
        <w:t xml:space="preserve">х» </w:t>
      </w:r>
      <w:r>
        <w:rPr>
          <w:sz w:val="28"/>
          <w:szCs w:val="28"/>
        </w:rPr>
        <w:t xml:space="preserve">- отмечает заместитель руководителя Управления Елена Саулина.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5460" cy="60954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9468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095459" cy="6095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9.96pt;height:479.9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95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35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55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95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15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705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4">
    <w:name w:val="Heading 1"/>
    <w:basedOn w:val="852"/>
    <w:next w:val="852"/>
    <w:link w:val="67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5">
    <w:name w:val="Heading 1 Char"/>
    <w:link w:val="674"/>
    <w:uiPriority w:val="9"/>
    <w:rPr>
      <w:rFonts w:ascii="Arial" w:hAnsi="Arial" w:eastAsia="Arial" w:cs="Arial"/>
      <w:sz w:val="40"/>
      <w:szCs w:val="40"/>
    </w:rPr>
  </w:style>
  <w:style w:type="paragraph" w:styleId="676">
    <w:name w:val="Heading 2"/>
    <w:basedOn w:val="852"/>
    <w:next w:val="852"/>
    <w:link w:val="67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7">
    <w:name w:val="Heading 2 Char"/>
    <w:link w:val="676"/>
    <w:uiPriority w:val="9"/>
    <w:rPr>
      <w:rFonts w:ascii="Arial" w:hAnsi="Arial" w:eastAsia="Arial" w:cs="Arial"/>
      <w:sz w:val="34"/>
    </w:rPr>
  </w:style>
  <w:style w:type="paragraph" w:styleId="678">
    <w:name w:val="Heading 3"/>
    <w:basedOn w:val="852"/>
    <w:next w:val="852"/>
    <w:link w:val="67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9">
    <w:name w:val="Heading 3 Char"/>
    <w:link w:val="678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52"/>
    <w:uiPriority w:val="34"/>
    <w:qFormat/>
    <w:pPr>
      <w:contextualSpacing/>
      <w:ind w:left="720"/>
    </w:pPr>
  </w:style>
  <w:style w:type="paragraph" w:styleId="693">
    <w:name w:val="No Spacing"/>
    <w:uiPriority w:val="1"/>
    <w:qFormat/>
    <w:pPr>
      <w:spacing w:before="0" w:after="0" w:line="240" w:lineRule="auto"/>
    </w:pPr>
  </w:style>
  <w:style w:type="paragraph" w:styleId="694">
    <w:name w:val="Title"/>
    <w:basedOn w:val="852"/>
    <w:next w:val="852"/>
    <w:link w:val="6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5">
    <w:name w:val="Title Char"/>
    <w:link w:val="694"/>
    <w:uiPriority w:val="10"/>
    <w:rPr>
      <w:sz w:val="48"/>
      <w:szCs w:val="48"/>
    </w:rPr>
  </w:style>
  <w:style w:type="paragraph" w:styleId="696">
    <w:name w:val="Subtitle"/>
    <w:basedOn w:val="852"/>
    <w:next w:val="852"/>
    <w:link w:val="697"/>
    <w:uiPriority w:val="11"/>
    <w:qFormat/>
    <w:pPr>
      <w:spacing w:before="200" w:after="200"/>
    </w:pPr>
    <w:rPr>
      <w:sz w:val="24"/>
      <w:szCs w:val="24"/>
    </w:rPr>
  </w:style>
  <w:style w:type="character" w:styleId="697">
    <w:name w:val="Subtitle Char"/>
    <w:link w:val="696"/>
    <w:uiPriority w:val="11"/>
    <w:rPr>
      <w:sz w:val="24"/>
      <w:szCs w:val="24"/>
    </w:rPr>
  </w:style>
  <w:style w:type="paragraph" w:styleId="698">
    <w:name w:val="Quote"/>
    <w:basedOn w:val="852"/>
    <w:next w:val="852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52"/>
    <w:next w:val="852"/>
    <w:link w:val="70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paragraph" w:styleId="702">
    <w:name w:val="Header"/>
    <w:basedOn w:val="852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3">
    <w:name w:val="Header Char"/>
    <w:link w:val="702"/>
    <w:uiPriority w:val="99"/>
  </w:style>
  <w:style w:type="paragraph" w:styleId="704">
    <w:name w:val="Footer"/>
    <w:basedOn w:val="852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Footer Char"/>
    <w:link w:val="704"/>
    <w:uiPriority w:val="99"/>
  </w:style>
  <w:style w:type="paragraph" w:styleId="706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</w:style>
  <w:style w:type="table" w:styleId="70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next w:val="852"/>
    <w:link w:val="852"/>
    <w:qFormat/>
    <w:rPr>
      <w:sz w:val="24"/>
      <w:szCs w:val="24"/>
      <w:lang w:val="ru-RU" w:eastAsia="ru-RU" w:bidi="ar-SA"/>
    </w:rPr>
  </w:style>
  <w:style w:type="paragraph" w:styleId="853">
    <w:name w:val="Заголовок 1"/>
    <w:basedOn w:val="852"/>
    <w:next w:val="852"/>
    <w:link w:val="863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854">
    <w:name w:val="Заголовок 3"/>
    <w:basedOn w:val="852"/>
    <w:next w:val="852"/>
    <w:link w:val="864"/>
    <w:semiHidden/>
    <w:unhideWhenUsed/>
    <w:qFormat/>
    <w:pPr>
      <w:keepNext/>
      <w:spacing w:before="240" w:after="60"/>
      <w:outlineLvl w:val="2"/>
    </w:pPr>
    <w:rPr>
      <w:rFonts w:ascii="Cambria" w:hAnsi="Cambria" w:eastAsia="Times New Roman" w:cs="Times New Roman"/>
      <w:b/>
      <w:bCs/>
      <w:sz w:val="26"/>
      <w:szCs w:val="26"/>
    </w:rPr>
  </w:style>
  <w:style w:type="character" w:styleId="855">
    <w:name w:val="Основной шрифт абзаца"/>
    <w:next w:val="855"/>
    <w:link w:val="852"/>
    <w:semiHidden/>
  </w:style>
  <w:style w:type="table" w:styleId="856">
    <w:name w:val="Обычная таблица"/>
    <w:next w:val="856"/>
    <w:link w:val="852"/>
    <w:semiHidden/>
    <w:tblPr/>
  </w:style>
  <w:style w:type="numbering" w:styleId="857">
    <w:name w:val="Нет списка"/>
    <w:next w:val="857"/>
    <w:link w:val="852"/>
    <w:semiHidden/>
  </w:style>
  <w:style w:type="paragraph" w:styleId="858">
    <w:name w:val="ConsPlusNormal"/>
    <w:next w:val="858"/>
    <w:link w:val="852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character" w:styleId="859">
    <w:name w:val="Гиперссылка"/>
    <w:next w:val="859"/>
    <w:link w:val="852"/>
    <w:rPr>
      <w:color w:val="0000ff"/>
      <w:u w:val="single"/>
    </w:rPr>
  </w:style>
  <w:style w:type="character" w:styleId="860">
    <w:name w:val="Просмотренная гиперссылка"/>
    <w:next w:val="860"/>
    <w:link w:val="852"/>
    <w:rPr>
      <w:color w:val="800080"/>
      <w:u w:val="single"/>
    </w:rPr>
  </w:style>
  <w:style w:type="character" w:styleId="861">
    <w:name w:val="Строгий"/>
    <w:next w:val="861"/>
    <w:link w:val="852"/>
    <w:uiPriority w:val="22"/>
    <w:qFormat/>
    <w:rPr>
      <w:b/>
      <w:bCs/>
    </w:rPr>
  </w:style>
  <w:style w:type="paragraph" w:styleId="862">
    <w:name w:val="Обычный (веб)"/>
    <w:basedOn w:val="852"/>
    <w:next w:val="862"/>
    <w:link w:val="852"/>
    <w:uiPriority w:val="99"/>
    <w:unhideWhenUsed/>
    <w:pPr>
      <w:spacing w:before="100" w:beforeAutospacing="1" w:after="100" w:afterAutospacing="1"/>
    </w:pPr>
  </w:style>
  <w:style w:type="character" w:styleId="863">
    <w:name w:val="Заголовок 1 Знак"/>
    <w:next w:val="863"/>
    <w:link w:val="853"/>
    <w:rPr>
      <w:rFonts w:ascii="Cambria" w:hAnsi="Cambria"/>
      <w:b/>
      <w:bCs/>
      <w:sz w:val="32"/>
      <w:szCs w:val="32"/>
    </w:rPr>
  </w:style>
  <w:style w:type="character" w:styleId="864">
    <w:name w:val="Заголовок 3 Знак"/>
    <w:next w:val="864"/>
    <w:link w:val="854"/>
    <w:semiHidden/>
    <w:rPr>
      <w:rFonts w:ascii="Cambria" w:hAnsi="Cambria" w:eastAsia="Times New Roman" w:cs="Times New Roman"/>
      <w:b/>
      <w:bCs/>
      <w:sz w:val="26"/>
      <w:szCs w:val="26"/>
    </w:rPr>
  </w:style>
  <w:style w:type="character" w:styleId="865">
    <w:name w:val="Выделение"/>
    <w:next w:val="865"/>
    <w:link w:val="852"/>
    <w:uiPriority w:val="20"/>
    <w:qFormat/>
    <w:rPr>
      <w:i/>
      <w:iCs/>
    </w:rPr>
  </w:style>
  <w:style w:type="paragraph" w:styleId="866">
    <w:name w:val="Текст сноски"/>
    <w:basedOn w:val="852"/>
    <w:next w:val="866"/>
    <w:link w:val="867"/>
    <w:rPr>
      <w:sz w:val="20"/>
      <w:szCs w:val="20"/>
    </w:rPr>
  </w:style>
  <w:style w:type="character" w:styleId="867">
    <w:name w:val="Текст сноски Знак"/>
    <w:basedOn w:val="855"/>
    <w:next w:val="867"/>
    <w:link w:val="866"/>
  </w:style>
  <w:style w:type="character" w:styleId="868">
    <w:name w:val="Знак сноски"/>
    <w:next w:val="868"/>
    <w:link w:val="852"/>
    <w:rPr>
      <w:vertAlign w:val="superscript"/>
    </w:rPr>
  </w:style>
  <w:style w:type="character" w:styleId="869" w:default="1">
    <w:name w:val="Default Paragraph Font"/>
    <w:uiPriority w:val="1"/>
    <w:semiHidden/>
    <w:unhideWhenUsed/>
  </w:style>
  <w:style w:type="numbering" w:styleId="870" w:default="1">
    <w:name w:val="No List"/>
    <w:uiPriority w:val="99"/>
    <w:semiHidden/>
    <w:unhideWhenUsed/>
  </w:style>
  <w:style w:type="table" w:styleId="87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Inc.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глазах одних — это госслужащий, участвующий в банкротных процедурах</dc:title>
  <dc:creator>petrenko</dc:creator>
  <cp:revision>6</cp:revision>
  <dcterms:created xsi:type="dcterms:W3CDTF">2024-02-20T02:14:00Z</dcterms:created>
  <dcterms:modified xsi:type="dcterms:W3CDTF">2025-02-28T04:43:35Z</dcterms:modified>
  <cp:version>1048576</cp:version>
</cp:coreProperties>
</file>