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jc w:val="lef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056006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198" cy="7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1_635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19.05.2025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>
        <w:rPr>
          <w:b/>
          <w:i/>
          <w:iCs w:val="0"/>
          <w:sz w:val="12"/>
          <w:szCs w:val="12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16-17 мая заместитель руководителя Управления Росреестра по Алтайскому краю Елена Бандурова приняла участие в ключевом событии для сферы недвижимости Сибири – Форуме ALTAI REALESTATE 2025. </w:t>
      </w:r>
      <w:r>
        <w:rPr>
          <w:rFonts w:ascii="Times New Roman" w:hAnsi="Times New Roman" w:eastAsia="Times New Roman" w:cs="Times New Roman"/>
          <w:color w:val="222222"/>
          <w:sz w:val="28"/>
          <w:szCs w:val="20"/>
          <w:highlight w:val="white"/>
        </w:rPr>
        <w:t xml:space="preserve">На площадке горнолыжного комплекса «Манжерок» собрались более 500 участников: представители органов власти, риелторы, руководители агентств недвижимости, девелоперы, а также эксперты банковского и страхового секторов из разных регионов Сибири.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Елена Бандурова выступила с докладом на тему «Новые технологии при сделках с недвижимостью», рассказав об особенностях цифровой трансформации в сфере регистрации: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numId w:val="1"/>
          <w:ilvl w:val="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Способы обращения в Росреестр;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numId w:val="1"/>
          <w:ilvl w:val="0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Ключевые изменения в сфере электронной регистрации;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21"/>
        <w:numPr>
          <w:numId w:val="1"/>
          <w:ilvl w:val="0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Органы власти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и юридические лица подают обращения исключительно электронно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</w:p>
    <w:p>
      <w:pPr>
        <w:pStyle w:val="621"/>
        <w:numPr>
          <w:numId w:val="1"/>
          <w:ilvl w:val="0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Электронная ипотека, электронные договоры участия в долевом строительстве (ДДУ) и другое.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Особое внимание было уделено сервисам портала «Национальная система пространственных данных (НСПД)»,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в рамках которого создано отечественное геоинформационное программное обеспечение.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Сервисы НСПД — это электронные инструменты, которые позволяют гражданам и юридическим лицам получать информацию о недвижимости.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6"/>
          <w:szCs w:val="36"/>
          <w:highlight w:val="none"/>
        </w:rPr>
      </w:r>
    </w:p>
    <w:p>
      <w:pPr>
        <w:spacing w:line="240" w:lineRule="auto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/>
          <w:iCs/>
          <w:strike w:val="0"/>
          <w:color w:val="000000" w:themeColor="text1"/>
          <w:spacing w:val="0"/>
          <w:sz w:val="28"/>
          <w:szCs w:val="28"/>
          <w:lang w:val="ru-RU"/>
        </w:rPr>
        <w:t xml:space="preserve">Внедрение и использование этой системы способствует экономическому развитию, повышению эффективности государственного управления и устойчивому развитию территорий»</w:t>
      </w:r>
      <w:r>
        <w:rPr>
          <w:rFonts w:ascii="Times New Roman" w:hAnsi="Times New Roman" w:eastAsia="Times New Roman" w:cs="Times New Roman"/>
          <w:b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отмечает Елена Бандурова.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36"/>
          <w:szCs w:val="36"/>
          <w:highlight w:val="none"/>
        </w:rPr>
      </w:r>
    </w:p>
    <w:p>
      <w:pPr>
        <w:spacing w:line="240" w:lineRule="auto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45910" cy="440571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34762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5909" cy="4405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30pt;height:346.9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69505" cy="497722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7280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5426" r="0" b="7141"/>
                        <a:stretch/>
                      </pic:blipFill>
                      <pic:spPr bwMode="auto">
                        <a:xfrm flipH="0" flipV="0">
                          <a:off x="0" y="0"/>
                          <a:ext cx="4269504" cy="497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36.18pt;height:391.9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6725" cy="54623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64955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096724" cy="546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22.58pt;height:430.1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Style w:val="1_1143"/>
          <w:i/>
          <w:iCs/>
          <w:color w:val="000000"/>
          <w:sz w:val="24"/>
          <w:szCs w:val="24"/>
          <w:u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Standard"/>
    <w:qFormat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character" w:styleId="1_1143" w:customStyle="1">
    <w:name w:val="Интернет-ссылка"/>
    <w:next w:val="859"/>
    <w:link w:val="85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2025-05-19T08:11:31Z</dcterms:modified>
</cp:coreProperties>
</file>