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703"/>
      </w:pPr>
      <w:r>
        <w:rPr>
          <w:rFonts w:eastAsia="Calibri"/>
          <w:b/>
          <w:bCs/>
          <w:szCs w:val="28"/>
        </w:rPr>
        <w:t xml:space="preserve">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71055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1_70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7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7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16.05.2025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7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rFonts w:ascii="Times New Roman" w:hAnsi="Times New Roman" w:eastAsia="Times New Roman" w:cs="Times New Roman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highlight w:val="none"/>
        </w:rPr>
      </w:r>
    </w:p>
    <w:p>
      <w:pPr>
        <w:pStyle w:val="884"/>
        <w:jc w:val="left"/>
        <w:rPr>
          <w:b/>
          <w:bCs/>
          <w:highlight w:val="none"/>
        </w:rPr>
      </w:pPr>
      <w:r>
        <w:rPr>
          <w:b/>
          <w:bCs/>
        </w:rPr>
        <w:t xml:space="preserve"> </w:t>
      </w:r>
      <w:r>
        <w:rPr>
          <w:b/>
          <w:bCs/>
          <w:szCs w:val="28"/>
        </w:rPr>
        <w:t xml:space="preserve">Итоги деятельности отдела по контролю (надзору) в сфере саморегулируемых организаций Управления Росреестра по Алтайскому краю</w:t>
      </w:r>
      <w:r>
        <w:rPr>
          <w:b/>
          <w:bCs/>
          <w:szCs w:val="28"/>
        </w:rPr>
        <w:t xml:space="preserve"> з</w:t>
      </w:r>
      <w:r>
        <w:rPr>
          <w:b/>
          <w:bCs/>
          <w:szCs w:val="28"/>
        </w:rPr>
        <w:t xml:space="preserve">а </w:t>
      </w:r>
      <w:r>
        <w:rPr>
          <w:b/>
          <w:bCs/>
          <w:szCs w:val="28"/>
          <w:lang w:val="en-US"/>
        </w:rPr>
        <w:t xml:space="preserve">I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квартал </w:t>
      </w:r>
      <w:r>
        <w:rPr>
          <w:b/>
          <w:bCs/>
          <w:szCs w:val="28"/>
        </w:rPr>
        <w:t xml:space="preserve">202</w:t>
      </w:r>
      <w:r>
        <w:rPr>
          <w:b/>
          <w:bCs/>
          <w:szCs w:val="28"/>
        </w:rPr>
        <w:t xml:space="preserve">5 год</w:t>
      </w:r>
      <w:r>
        <w:rPr>
          <w:b/>
          <w:bCs/>
          <w:szCs w:val="28"/>
        </w:rPr>
        <w:t xml:space="preserve">а</w:t>
      </w:r>
      <w:r>
        <w:rPr>
          <w:b/>
          <w:bCs/>
          <w:szCs w:val="28"/>
        </w:rPr>
      </w:r>
      <w:r>
        <w:rPr>
          <w:b/>
          <w:bCs/>
          <w:highlight w:val="none"/>
        </w:rPr>
      </w:r>
    </w:p>
    <w:p>
      <w:pPr>
        <w:pStyle w:val="884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За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квартал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</w:t>
      </w:r>
      <w:r>
        <w:rPr>
          <w:szCs w:val="28"/>
        </w:rPr>
        <w:t xml:space="preserve">год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в Управление</w:t>
      </w:r>
      <w:r>
        <w:rPr>
          <w:szCs w:val="28"/>
        </w:rPr>
        <w:t xml:space="preserve"> Росреестра по Алтайскому </w:t>
      </w:r>
      <w:r>
        <w:rPr>
          <w:szCs w:val="28"/>
        </w:rPr>
        <w:t xml:space="preserve">краю поступило</w:t>
      </w:r>
      <w:r>
        <w:rPr>
          <w:szCs w:val="28"/>
        </w:rPr>
        <w:t xml:space="preserve"> 76</w:t>
      </w:r>
      <w:r>
        <w:rPr>
          <w:szCs w:val="28"/>
        </w:rPr>
        <w:t xml:space="preserve"> </w:t>
      </w:r>
      <w:r>
        <w:rPr>
          <w:szCs w:val="28"/>
        </w:rPr>
        <w:t xml:space="preserve">обращени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заявлени</w:t>
      </w:r>
      <w:r>
        <w:rPr>
          <w:szCs w:val="28"/>
        </w:rPr>
        <w:t xml:space="preserve">й</w:t>
      </w:r>
      <w:r>
        <w:rPr>
          <w:szCs w:val="28"/>
        </w:rPr>
        <w:t xml:space="preserve">, жалоб на действия</w:t>
      </w:r>
      <w:r>
        <w:rPr>
          <w:szCs w:val="28"/>
        </w:rPr>
        <w:t xml:space="preserve"> (бездействие)</w:t>
      </w:r>
      <w:r>
        <w:rPr>
          <w:szCs w:val="28"/>
        </w:rPr>
        <w:t xml:space="preserve"> арбитражных управляющих</w:t>
      </w:r>
      <w:r>
        <w:rPr>
          <w:szCs w:val="28"/>
        </w:rPr>
        <w:t xml:space="preserve">, </w:t>
      </w:r>
      <w:r>
        <w:rPr>
          <w:szCs w:val="28"/>
        </w:rPr>
        <w:t xml:space="preserve">что на</w:t>
      </w:r>
      <w:r>
        <w:rPr>
          <w:szCs w:val="28"/>
        </w:rPr>
        <w:t xml:space="preserve"> 58,3% больше аналогичного показателя 2024 года.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Должностными лицами Управления вынесено 43 определени</w:t>
      </w:r>
      <w:r>
        <w:rPr>
          <w:szCs w:val="28"/>
        </w:rPr>
        <w:t xml:space="preserve">я о возбуждении дел об административном правонарушении и проведении административного расследования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проведенных </w:t>
      </w:r>
      <w:r>
        <w:rPr>
          <w:szCs w:val="28"/>
        </w:rPr>
        <w:t xml:space="preserve">административных </w:t>
      </w:r>
      <w:r>
        <w:rPr>
          <w:szCs w:val="28"/>
        </w:rPr>
        <w:t xml:space="preserve">расследований составлено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и направлено в </w:t>
      </w:r>
      <w:r>
        <w:rPr>
          <w:szCs w:val="28"/>
        </w:rPr>
        <w:t xml:space="preserve">арбитражный </w:t>
      </w:r>
      <w:r>
        <w:rPr>
          <w:szCs w:val="28"/>
        </w:rPr>
        <w:t xml:space="preserve">суд </w:t>
      </w:r>
      <w:r>
        <w:rPr>
          <w:szCs w:val="28"/>
        </w:rPr>
        <w:t xml:space="preserve">15</w:t>
      </w:r>
      <w:r>
        <w:rPr>
          <w:szCs w:val="28"/>
        </w:rPr>
        <w:t xml:space="preserve"> </w:t>
      </w:r>
      <w:r>
        <w:rPr>
          <w:szCs w:val="28"/>
        </w:rPr>
        <w:t xml:space="preserve">заявлени</w:t>
      </w:r>
      <w:r>
        <w:rPr>
          <w:szCs w:val="28"/>
        </w:rPr>
        <w:t xml:space="preserve">й</w:t>
      </w:r>
      <w:r>
        <w:rPr>
          <w:szCs w:val="28"/>
        </w:rPr>
        <w:t xml:space="preserve"> о привлечении арбитражных управляющих к административной ответственности</w:t>
      </w:r>
      <w:r>
        <w:rPr>
          <w:szCs w:val="28"/>
        </w:rPr>
        <w:t xml:space="preserve">.</w:t>
      </w:r>
      <w:r>
        <w:rPr>
          <w:szCs w:val="28"/>
        </w:rPr>
        <w:t xml:space="preserve"> Вынесено 9 постановлений о прекращении производства по делу об административном правонарушении.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Арбитражным судом Алтайского края по заявлениям Управления в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квартале 202</w:t>
      </w:r>
      <w:r>
        <w:rPr>
          <w:szCs w:val="28"/>
        </w:rPr>
        <w:t xml:space="preserve">5 года, </w:t>
      </w:r>
      <w:r>
        <w:rPr>
          <w:szCs w:val="28"/>
        </w:rPr>
        <w:t xml:space="preserve">3 </w:t>
      </w:r>
      <w:r>
        <w:rPr>
          <w:szCs w:val="28"/>
        </w:rPr>
        <w:t xml:space="preserve">арбитражных управляющих привлечены </w:t>
      </w:r>
      <w:r>
        <w:rPr>
          <w:szCs w:val="28"/>
        </w:rPr>
        <w:t xml:space="preserve">к административной ответственности</w:t>
      </w:r>
      <w:r>
        <w:rPr>
          <w:szCs w:val="28"/>
        </w:rPr>
        <w:t xml:space="preserve"> </w:t>
      </w:r>
      <w:r>
        <w:rPr>
          <w:szCs w:val="28"/>
        </w:rPr>
        <w:t xml:space="preserve">с назначением наказания в виде дисквалификации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  <w:t xml:space="preserve">2 арбитражны</w:t>
      </w:r>
      <w:r>
        <w:rPr>
          <w:szCs w:val="28"/>
        </w:rPr>
        <w:t xml:space="preserve">м управляющим</w:t>
      </w:r>
      <w:r>
        <w:rPr>
          <w:szCs w:val="28"/>
        </w:rPr>
        <w:t xml:space="preserve"> </w:t>
      </w:r>
      <w:r>
        <w:rPr>
          <w:szCs w:val="28"/>
        </w:rPr>
        <w:t xml:space="preserve">назначено</w:t>
      </w:r>
      <w:r>
        <w:rPr>
          <w:szCs w:val="28"/>
        </w:rPr>
        <w:t xml:space="preserve"> наказани</w:t>
      </w:r>
      <w:r>
        <w:rPr>
          <w:szCs w:val="28"/>
        </w:rPr>
        <w:t xml:space="preserve">е</w:t>
      </w:r>
      <w:r>
        <w:rPr>
          <w:szCs w:val="28"/>
        </w:rPr>
        <w:t xml:space="preserve"> в виде предупреждения</w:t>
      </w:r>
      <w:r>
        <w:rPr>
          <w:szCs w:val="28"/>
        </w:rPr>
        <w:t xml:space="preserve">;</w:t>
      </w:r>
      <w:r>
        <w:rPr>
          <w:szCs w:val="28"/>
        </w:rPr>
        <w:t xml:space="preserve"> действия (бездей</w:t>
      </w:r>
      <w:r>
        <w:rPr>
          <w:szCs w:val="28"/>
        </w:rPr>
        <w:t xml:space="preserve">ствие) </w:t>
      </w:r>
      <w:r>
        <w:rPr>
          <w:szCs w:val="28"/>
        </w:rPr>
        <w:t xml:space="preserve">1</w:t>
      </w:r>
      <w:r>
        <w:rPr>
          <w:szCs w:val="28"/>
        </w:rPr>
        <w:t xml:space="preserve">0</w:t>
      </w:r>
      <w:r>
        <w:rPr>
          <w:szCs w:val="28"/>
        </w:rPr>
        <w:t xml:space="preserve"> арбитражных управляющих признаны судом мало</w:t>
      </w:r>
      <w:r>
        <w:rPr>
          <w:szCs w:val="28"/>
        </w:rPr>
        <w:t xml:space="preserve">з</w:t>
      </w:r>
      <w:r>
        <w:rPr>
          <w:szCs w:val="28"/>
        </w:rPr>
        <w:t xml:space="preserve">начительными.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i/>
          <w:iCs/>
          <w:highlight w:val="none"/>
        </w:rPr>
      </w:pPr>
      <w:r>
        <w:rPr>
          <w:i/>
          <w:iCs/>
          <w:szCs w:val="28"/>
        </w:rPr>
        <w:t xml:space="preserve">«</w:t>
      </w:r>
      <w:r>
        <w:rPr>
          <w:i/>
          <w:iCs/>
          <w:szCs w:val="28"/>
        </w:rPr>
        <w:t xml:space="preserve">По</w:t>
      </w:r>
      <w:r>
        <w:rPr>
          <w:i/>
          <w:iCs/>
          <w:szCs w:val="28"/>
        </w:rPr>
        <w:t xml:space="preserve"> сравнени</w:t>
      </w:r>
      <w:r>
        <w:rPr>
          <w:i/>
          <w:iCs/>
          <w:szCs w:val="28"/>
        </w:rPr>
        <w:t xml:space="preserve">ю</w:t>
      </w:r>
      <w:r>
        <w:rPr>
          <w:i/>
          <w:iCs/>
          <w:szCs w:val="28"/>
        </w:rPr>
        <w:t xml:space="preserve"> с аналогичным периодом 202</w:t>
      </w:r>
      <w:r>
        <w:rPr>
          <w:i/>
          <w:iCs/>
          <w:szCs w:val="28"/>
        </w:rPr>
        <w:t xml:space="preserve">4 года </w:t>
      </w:r>
      <w:r>
        <w:rPr>
          <w:i/>
          <w:iCs/>
          <w:szCs w:val="28"/>
        </w:rPr>
        <w:t xml:space="preserve">существенно увеличилось количество жалоб поступающих в Управление на действия (бездействие) арбитражных управляющих</w:t>
      </w:r>
      <w:r>
        <w:rPr>
          <w:i/>
          <w:iCs/>
          <w:sz w:val="28"/>
          <w:szCs w:val="28"/>
        </w:rPr>
        <w:t xml:space="preserve">, что </w:t>
      </w:r>
      <w:r>
        <w:rPr>
          <w:i/>
          <w:iCs/>
          <w:sz w:val="28"/>
          <w:szCs w:val="28"/>
        </w:rPr>
        <w:t xml:space="preserve">свидетельствует о том, что нарушения в деятельности управляющих имеют постоянную основу. </w:t>
      </w:r>
      <w:r>
        <w:rPr>
          <w:i/>
          <w:iCs/>
          <w:szCs w:val="28"/>
        </w:rPr>
        <w:t xml:space="preserve">Кроме того</w:t>
      </w:r>
      <w:r>
        <w:rPr>
          <w:i/>
          <w:iCs/>
          <w:szCs w:val="28"/>
        </w:rPr>
        <w:t xml:space="preserve">,</w:t>
      </w:r>
      <w:r>
        <w:rPr>
          <w:i/>
          <w:iCs/>
          <w:szCs w:val="28"/>
        </w:rPr>
        <w:t xml:space="preserve"> специалистами Управления </w:t>
      </w:r>
      <w:r>
        <w:rPr>
          <w:i/>
          <w:iCs/>
          <w:szCs w:val="28"/>
        </w:rPr>
        <w:t xml:space="preserve">в первом квартале 2025 года возбуждено 4 административных производств</w:t>
      </w:r>
      <w:r>
        <w:rPr>
          <w:i/>
          <w:iCs/>
          <w:szCs w:val="28"/>
        </w:rPr>
        <w:t xml:space="preserve">а</w:t>
      </w:r>
      <w:r>
        <w:rPr>
          <w:i/>
          <w:iCs/>
          <w:szCs w:val="28"/>
        </w:rPr>
        <w:t xml:space="preserve"> в рамках непосредственного обнаружения признаков административного правонарушения в действиях (бездействии) арбитражных управляющих, п</w:t>
      </w:r>
      <w:r>
        <w:rPr>
          <w:i/>
          <w:iCs/>
          <w:szCs w:val="28"/>
        </w:rPr>
        <w:t xml:space="preserve">о результатам анализа Единого Федерального реестра сведений о банкротстве.</w:t>
      </w:r>
      <w:r>
        <w:rPr>
          <w:i/>
          <w:iCs/>
          <w:highlight w:val="none"/>
        </w:rPr>
      </w:r>
      <w:r>
        <w:rPr>
          <w:i/>
          <w:iCs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</w:rPr>
        <w:t xml:space="preserve">В целях минимизации количества совершаемых арбитражными управляющими нарушений Управлением осуществляется ряд профилактических мероприятий, проводится постоянный мониторинг </w:t>
      </w:r>
      <w:r>
        <w:rPr>
          <w:i/>
          <w:iCs/>
          <w:sz w:val="28"/>
          <w:szCs w:val="28"/>
        </w:rPr>
        <w:t xml:space="preserve">соблюдения законодательства о банкротстве арбитражными управляющими це</w:t>
      </w:r>
      <w:r>
        <w:rPr>
          <w:i/>
          <w:iCs/>
          <w:sz w:val="28"/>
          <w:szCs w:val="28"/>
        </w:rPr>
        <w:t xml:space="preserve">лого ряда должников, в том числе, предприятий - должников имеющих задолженность по денежным обязательствам перед Российской Федерацией, федеральных государственных унитарных предприятий, предприятий, имеющих задолженность по выплате заработной платы и др.»</w:t>
      </w:r>
      <w:r>
        <w:rPr>
          <w:sz w:val="28"/>
          <w:szCs w:val="28"/>
        </w:rPr>
        <w:t xml:space="preserve"> - отмечает заместитель руководителя Управления </w:t>
      </w:r>
      <w:r>
        <w:rPr>
          <w:b/>
          <w:bCs/>
          <w:sz w:val="28"/>
          <w:szCs w:val="28"/>
        </w:rPr>
        <w:t xml:space="preserve">Елена Саулина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7325" cy="50873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880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087324" cy="5087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0.58pt;height:400.58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spacing w:after="0" w:line="240" w:lineRule="auto"/>
        <w:ind w:firstLine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spacing w:after="0" w:line="240" w:lineRule="auto"/>
        <w:ind w:firstLine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70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Style w:val="1_702"/>
          <w:i/>
          <w:iCs/>
          <w:color w:val="000000"/>
          <w:sz w:val="24"/>
          <w:szCs w:val="24"/>
          <w:u w:val="none"/>
          <w:shd w:val="clear" w:color="auto" w:fill="ffffff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ndale Sans UI">
    <w:panose1 w:val="02020603050405020304"/>
  </w:font>
  <w:font w:name="Tahoma">
    <w:panose1 w:val="020B0604030504040204"/>
  </w:font>
  <w:font w:name="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</w:p>
  <w:p>
    <w:pPr>
      <w:pStyle w:val="8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framePr w:wrap="around" w:vAnchor="text" w:hAnchor="margin" w:xAlign="center" w:y="1"/>
      <w:rPr>
        <w:rStyle w:val="891"/>
      </w:rPr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2</w: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framePr w:wrap="around" w:vAnchor="text" w:hAnchor="margin" w:xAlign="center" w:y="1"/>
      <w:rPr>
        <w:rStyle w:val="891"/>
      </w:rPr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ind w:left="720"/>
      <w:contextualSpacing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spacing w:after="57"/>
      <w:ind w:left="0" w:right="0" w:firstLine="0"/>
    </w:pPr>
  </w:style>
  <w:style w:type="paragraph" w:styleId="874">
    <w:name w:val="toc 2"/>
    <w:basedOn w:val="884"/>
    <w:next w:val="884"/>
    <w:uiPriority w:val="39"/>
    <w:unhideWhenUsed/>
    <w:pPr>
      <w:spacing w:after="57"/>
      <w:ind w:left="283" w:right="0" w:firstLine="0"/>
    </w:pPr>
  </w:style>
  <w:style w:type="paragraph" w:styleId="875">
    <w:name w:val="toc 3"/>
    <w:basedOn w:val="884"/>
    <w:next w:val="884"/>
    <w:uiPriority w:val="39"/>
    <w:unhideWhenUsed/>
    <w:pPr>
      <w:spacing w:after="57"/>
      <w:ind w:left="567" w:right="0" w:firstLine="0"/>
    </w:pPr>
  </w:style>
  <w:style w:type="paragraph" w:styleId="876">
    <w:name w:val="toc 4"/>
    <w:basedOn w:val="884"/>
    <w:next w:val="884"/>
    <w:uiPriority w:val="39"/>
    <w:unhideWhenUsed/>
    <w:pPr>
      <w:spacing w:after="57"/>
      <w:ind w:left="850" w:right="0" w:firstLine="0"/>
    </w:pPr>
  </w:style>
  <w:style w:type="paragraph" w:styleId="877">
    <w:name w:val="toc 5"/>
    <w:basedOn w:val="884"/>
    <w:next w:val="884"/>
    <w:uiPriority w:val="39"/>
    <w:unhideWhenUsed/>
    <w:pPr>
      <w:spacing w:after="57"/>
      <w:ind w:left="1134" w:right="0" w:firstLine="0"/>
    </w:pPr>
  </w:style>
  <w:style w:type="paragraph" w:styleId="878">
    <w:name w:val="toc 6"/>
    <w:basedOn w:val="884"/>
    <w:next w:val="884"/>
    <w:uiPriority w:val="39"/>
    <w:unhideWhenUsed/>
    <w:pPr>
      <w:spacing w:after="57"/>
      <w:ind w:left="1417" w:right="0" w:firstLine="0"/>
    </w:pPr>
  </w:style>
  <w:style w:type="paragraph" w:styleId="879">
    <w:name w:val="toc 7"/>
    <w:basedOn w:val="884"/>
    <w:next w:val="884"/>
    <w:uiPriority w:val="39"/>
    <w:unhideWhenUsed/>
    <w:pPr>
      <w:spacing w:after="57"/>
      <w:ind w:left="1701" w:right="0" w:firstLine="0"/>
    </w:pPr>
  </w:style>
  <w:style w:type="paragraph" w:styleId="880">
    <w:name w:val="toc 8"/>
    <w:basedOn w:val="884"/>
    <w:next w:val="884"/>
    <w:uiPriority w:val="39"/>
    <w:unhideWhenUsed/>
    <w:pPr>
      <w:spacing w:after="57"/>
      <w:ind w:left="1984" w:right="0" w:firstLine="0"/>
    </w:pPr>
  </w:style>
  <w:style w:type="paragraph" w:styleId="881">
    <w:name w:val="toc 9"/>
    <w:basedOn w:val="884"/>
    <w:next w:val="884"/>
    <w:uiPriority w:val="39"/>
    <w:unhideWhenUsed/>
    <w:pPr>
      <w:spacing w:after="57"/>
      <w:ind w:left="2268" w:right="0" w:firstLine="0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sz w:val="28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/>
      <w:outlineLvl w:val="0"/>
    </w:pPr>
    <w:rPr>
      <w:szCs w:val="24"/>
    </w:rPr>
  </w:style>
  <w:style w:type="character" w:styleId="886">
    <w:name w:val="Основной шрифт абзаца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Основной текст с отступом"/>
    <w:basedOn w:val="884"/>
    <w:next w:val="889"/>
    <w:link w:val="884"/>
    <w:pPr>
      <w:ind w:left="6120" w:hanging="6120"/>
    </w:pPr>
    <w:rPr>
      <w:szCs w:val="24"/>
    </w:rPr>
  </w:style>
  <w:style w:type="paragraph" w:styleId="890">
    <w:name w:val="Верхний колонтитул"/>
    <w:basedOn w:val="884"/>
    <w:next w:val="890"/>
    <w:link w:val="884"/>
    <w:pPr>
      <w:tabs>
        <w:tab w:val="center" w:pos="4677" w:leader="none"/>
        <w:tab w:val="right" w:pos="9355" w:leader="none"/>
      </w:tabs>
    </w:pPr>
  </w:style>
  <w:style w:type="character" w:styleId="891">
    <w:name w:val="Номер страницы"/>
    <w:basedOn w:val="886"/>
    <w:next w:val="891"/>
    <w:link w:val="884"/>
  </w:style>
  <w:style w:type="paragraph" w:styleId="892">
    <w:name w:val="Нижний колонтитул"/>
    <w:basedOn w:val="884"/>
    <w:next w:val="892"/>
    <w:link w:val="884"/>
    <w:pPr>
      <w:tabs>
        <w:tab w:val="center" w:pos="4677" w:leader="none"/>
        <w:tab w:val="right" w:pos="9355" w:leader="none"/>
      </w:tabs>
    </w:pPr>
  </w:style>
  <w:style w:type="paragraph" w:styleId="893">
    <w:name w:val=" Знак"/>
    <w:basedOn w:val="884"/>
    <w:next w:val="893"/>
    <w:link w:val="884"/>
    <w:pPr>
      <w:widowControl w:val="off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table" w:styleId="894">
    <w:name w:val="Сетка таблицы"/>
    <w:basedOn w:val="887"/>
    <w:next w:val="894"/>
    <w:link w:val="884"/>
    <w:tblPr/>
  </w:style>
  <w:style w:type="paragraph" w:styleId="895">
    <w:name w:val="Обычный (веб)"/>
    <w:basedOn w:val="884"/>
    <w:next w:val="895"/>
    <w:link w:val="8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6">
    <w:name w:val="Гиперссылка"/>
    <w:next w:val="896"/>
    <w:link w:val="884"/>
    <w:uiPriority w:val="99"/>
    <w:unhideWhenUsed/>
    <w:rPr>
      <w:color w:val="0000ff"/>
      <w:u w:val="single"/>
    </w:rPr>
  </w:style>
  <w:style w:type="paragraph" w:styleId="897">
    <w:name w:val="Текст выноски"/>
    <w:basedOn w:val="884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paragraph" w:styleId="899">
    <w:name w:val="Текст сноски"/>
    <w:basedOn w:val="884"/>
    <w:next w:val="899"/>
    <w:link w:val="900"/>
    <w:rPr>
      <w:sz w:val="20"/>
    </w:rPr>
  </w:style>
  <w:style w:type="character" w:styleId="900">
    <w:name w:val="Текст сноски Знак"/>
    <w:basedOn w:val="886"/>
    <w:next w:val="900"/>
    <w:link w:val="899"/>
  </w:style>
  <w:style w:type="character" w:styleId="901">
    <w:name w:val="Знак сноски"/>
    <w:next w:val="901"/>
    <w:link w:val="884"/>
    <w:rPr>
      <w:vertAlign w:val="superscript"/>
    </w:rPr>
  </w:style>
  <w:style w:type="character" w:styleId="902">
    <w:name w:val="Выделение"/>
    <w:next w:val="902"/>
    <w:link w:val="884"/>
    <w:uiPriority w:val="20"/>
    <w:qFormat/>
    <w:rPr>
      <w:i/>
      <w:iCs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1_703" w:customStyle="1">
    <w:name w:val="Standard"/>
    <w:qFormat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character" w:styleId="1_702" w:customStyle="1">
    <w:name w:val="Интернет-ссылка"/>
    <w:next w:val="859"/>
    <w:link w:val="85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frs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PETRENKO</dc:creator>
  <cp:revision>6</cp:revision>
  <dcterms:created xsi:type="dcterms:W3CDTF">2024-04-09T05:39:00Z</dcterms:created>
  <dcterms:modified xsi:type="dcterms:W3CDTF">2025-05-15T09:00:13Z</dcterms:modified>
  <cp:version>1048576</cp:version>
</cp:coreProperties>
</file>