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6E" w:rsidRPr="00991A6E" w:rsidRDefault="00991A6E" w:rsidP="00991A6E">
      <w:pPr>
        <w:spacing w:before="150" w:line="360" w:lineRule="atLeast"/>
        <w:outlineLvl w:val="1"/>
        <w:rPr>
          <w:rFonts w:ascii="Roboto Condensed" w:eastAsia="Times New Roman" w:hAnsi="Roboto Condensed" w:cs="Times New Roman"/>
          <w:caps/>
          <w:color w:val="333333"/>
          <w:sz w:val="36"/>
          <w:szCs w:val="36"/>
          <w:lang w:eastAsia="ru-RU"/>
        </w:rPr>
      </w:pPr>
      <w:r w:rsidRPr="00991A6E">
        <w:rPr>
          <w:rFonts w:ascii="Roboto Condensed" w:eastAsia="Times New Roman" w:hAnsi="Roboto Condensed" w:cs="Times New Roman"/>
          <w:caps/>
          <w:color w:val="333333"/>
          <w:sz w:val="36"/>
          <w:szCs w:val="36"/>
          <w:lang w:eastAsia="ru-RU"/>
        </w:rPr>
        <w:t xml:space="preserve"> РАБОТА МАЛОГО И СРЕДНЕГО БИЗНЕСА В УСЛОВИЯХ РЫНОЧНЫХ ОТНОШЕНИЙ</w:t>
      </w:r>
    </w:p>
    <w:p w:rsidR="00991A6E" w:rsidRPr="00991A6E" w:rsidRDefault="00991A6E" w:rsidP="00991A6E">
      <w:pPr>
        <w:shd w:val="clear" w:color="auto" w:fill="FFFFFF"/>
        <w:tabs>
          <w:tab w:val="left" w:pos="1605"/>
          <w:tab w:val="right" w:pos="9355"/>
        </w:tabs>
        <w:spacing w:after="0" w:line="300" w:lineRule="atLeast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999999"/>
          <w:sz w:val="18"/>
          <w:szCs w:val="18"/>
          <w:lang w:eastAsia="ru-RU"/>
        </w:rPr>
        <w:t>В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опросы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обязательного декларирования объемов розничных продаж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пива, пивных напитков, сидра, </w:t>
      </w:r>
      <w:proofErr w:type="spell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пуаре</w:t>
      </w:r>
      <w:proofErr w:type="spell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и медовухи, а также подключения розничных продавцов с 1 января 2016 года к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системе ЕГАИС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.</w:t>
      </w:r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proofErr w:type="gram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Управление напоминает участникам рынка розничных продаж алкогольной продукции, что статьей 14 Федерального закона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для организаций, осуществляющих розничную продажу алкогольной продукции (в том числе пива и пивных напитков), а также индивидуальных предпринимателей, осуществляющих розничную продажу пива</w:t>
      </w:r>
      <w:proofErr w:type="gram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и пивных напитков, установлена</w:t>
      </w:r>
      <w:r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 xml:space="preserve">обязанность </w:t>
      </w:r>
      <w:proofErr w:type="gramStart"/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осуществлять</w:t>
      </w:r>
      <w:proofErr w:type="gramEnd"/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 xml:space="preserve"> учет и декларирование объема их розничной продажи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. Постановлением Правительства Российской Федерации от 09.08.2012 № 815 утверждены П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равила представления деклараций об объеме производства, оборота и (или) использования этилового спирта, алкогольной и спиртосодержащей продукции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, об использовании производственных мощностей (далее – «Правила»). В соответствии с Правилами организации, осуществляющие розничную продажу алкогольной продукции, представляют декларации по форме приложения № 11 к Правилам, организации и индивидуальные предприниматели, осуществляющие розничную продажу пива и пивных напитков, представляют декларации по форме приложения № 12 к Правилам. Декларации представляются только электронном виде по телекоммуникационным каналам связи с усиленной квалифицированной электронной подписью в Управление и в </w:t>
      </w:r>
      <w:proofErr w:type="spell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Росалкогольрегулирование</w:t>
      </w:r>
      <w:proofErr w:type="spell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через Личный кабинет на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hyperlink r:id="rId4" w:tgtFrame="_blank" w:history="1">
        <w:r w:rsidRPr="00991A6E">
          <w:rPr>
            <w:rFonts w:ascii="Open Sans" w:eastAsia="Times New Roman" w:hAnsi="Open Sans" w:cs="Times New Roman"/>
            <w:color w:val="0083C7"/>
            <w:sz w:val="21"/>
            <w:lang w:eastAsia="ru-RU"/>
          </w:rPr>
          <w:t>сайте ФСРАР</w:t>
        </w:r>
      </w:hyperlink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.</w:t>
      </w:r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Подача деклараций осуществляется ежеквартально, не позднее 20-го числа месяца, следующего за отчетным периодом: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- за 1 квартал – не позднее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20 апреля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отчетного года;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- за 2 квартал – не позднее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20 июля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отчетного года;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- за 3 квартал – не позднее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 20 октября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отчетного года;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- за 4 квартал – не позднее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20 января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следующего года.</w:t>
      </w:r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За нарушение сроков и порядка представления деклараций, а также за искажение представляемой в декларациях информации (ст. 15.13 </w:t>
      </w:r>
      <w:proofErr w:type="spell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КоАП</w:t>
      </w:r>
      <w:proofErr w:type="spell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РФ) установлены штрафы:</w:t>
      </w:r>
      <w:proofErr w:type="gram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-</w:t>
      </w:r>
      <w:proofErr w:type="gram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для юридических лиц — от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50 000 до 100 000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рублей;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- для должностных лиц – от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5 000 до 10 000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рублей.</w:t>
      </w:r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proofErr w:type="gram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Кроме того, Федеральный закон от 29.06.2015 № 182-ФЗ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внес изменения в перечень лиц, обязанных представлять сведения в ЕГАИС и установил сроки, с которых они должны исполнить свои обязанности по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передаче сведений в ЕГАИС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:</w:t>
      </w:r>
      <w:proofErr w:type="gramEnd"/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С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01.01.2016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в части подтверждения факта закупки: индивидуальные предприниматели, осуществляющие закупку пива и пивных напитков, сидра, </w:t>
      </w:r>
      <w:proofErr w:type="spell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пуаре</w:t>
      </w:r>
      <w:proofErr w:type="spell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, медовухи в целях последующей розничной продажи такой продукции, должны обеспечивать прием и передачу информации об обороте такой продукции; организации, осуществляющие розничную продажу алкогольной продукции в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 городских и сельских поселениях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.</w:t>
      </w:r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С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 01.07.2016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в части розничной продажи:</w:t>
      </w:r>
      <w:r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организации, осуществляющие розничную продажу алкогольной продукции в</w:t>
      </w:r>
      <w:r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городских поселениях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.</w:t>
      </w:r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lastRenderedPageBreak/>
        <w:t>С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01.07.2017</w:t>
      </w:r>
      <w:r w:rsidRPr="00991A6E">
        <w:rPr>
          <w:rFonts w:ascii="Open Sans" w:eastAsia="Times New Roman" w:hAnsi="Open Sans" w:cs="Times New Roman"/>
          <w:color w:val="656565"/>
          <w:sz w:val="21"/>
          <w:lang w:eastAsia="ru-RU"/>
        </w:rPr>
        <w:t> 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в части розничной продажи: организации, осуществляющие розничную продажу алкогольной продукции в</w:t>
      </w:r>
      <w:r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</w:t>
      </w:r>
      <w:r w:rsidRPr="00991A6E">
        <w:rPr>
          <w:rFonts w:ascii="Open Sans" w:eastAsia="Times New Roman" w:hAnsi="Open Sans" w:cs="Times New Roman"/>
          <w:b/>
          <w:bCs/>
          <w:color w:val="656565"/>
          <w:sz w:val="21"/>
          <w:lang w:eastAsia="ru-RU"/>
        </w:rPr>
        <w:t>сельских поселениях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.</w:t>
      </w:r>
    </w:p>
    <w:p w:rsidR="00991A6E" w:rsidRPr="00991A6E" w:rsidRDefault="00991A6E" w:rsidP="00991A6E">
      <w:pPr>
        <w:shd w:val="clear" w:color="auto" w:fill="FFFFFF"/>
        <w:spacing w:after="150" w:line="300" w:lineRule="atLeast"/>
        <w:jc w:val="both"/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</w:pPr>
      <w:proofErr w:type="gram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Требование о подключении к ЕГАИС в розничной торговле не распространяется на учет объема: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 xml:space="preserve">розничной продажи пива и пивных напитков, сидра, </w:t>
      </w:r>
      <w:proofErr w:type="spellStart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пуаре</w:t>
      </w:r>
      <w:proofErr w:type="spell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>, медовухи, спиртосодержащей продукции;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розничной продажи алкогольной продукции при оказании услуг общественного питания;</w:t>
      </w:r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br/>
        <w:t>розничной продажи алкогольной продукции, осуществляемой в поселениях с численностью населения менее трех тысяч человек, в которых отсутствует точка доступа к информационно-телекоммуникационной сети «Интернет».</w:t>
      </w:r>
      <w:proofErr w:type="gramEnd"/>
      <w:r w:rsidRPr="00991A6E">
        <w:rPr>
          <w:rFonts w:ascii="Open Sans" w:eastAsia="Times New Roman" w:hAnsi="Open Sans" w:cs="Times New Roman"/>
          <w:color w:val="656565"/>
          <w:sz w:val="21"/>
          <w:szCs w:val="21"/>
          <w:lang w:eastAsia="ru-RU"/>
        </w:rPr>
        <w:t xml:space="preserve"> Перечень таких поселений определяется законом субъекта Российской Федерации.</w:t>
      </w:r>
    </w:p>
    <w:p w:rsidR="00BE03A8" w:rsidRDefault="00BE03A8"/>
    <w:sectPr w:rsidR="00BE03A8" w:rsidSect="00BE0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A6E"/>
    <w:rsid w:val="00991A6E"/>
    <w:rsid w:val="00BE03A8"/>
    <w:rsid w:val="00F40400"/>
    <w:rsid w:val="00FA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A8"/>
  </w:style>
  <w:style w:type="paragraph" w:styleId="2">
    <w:name w:val="heading 2"/>
    <w:basedOn w:val="a"/>
    <w:link w:val="20"/>
    <w:uiPriority w:val="9"/>
    <w:qFormat/>
    <w:rsid w:val="00991A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1A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1A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1A6E"/>
  </w:style>
  <w:style w:type="paragraph" w:styleId="a4">
    <w:name w:val="Normal (Web)"/>
    <w:basedOn w:val="a"/>
    <w:uiPriority w:val="99"/>
    <w:semiHidden/>
    <w:unhideWhenUsed/>
    <w:rsid w:val="0099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A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3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3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671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27741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.fsr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3392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Smolay</dc:creator>
  <cp:lastModifiedBy>Smolay</cp:lastModifiedBy>
  <cp:revision>3</cp:revision>
  <dcterms:created xsi:type="dcterms:W3CDTF">2015-10-13T02:26:00Z</dcterms:created>
  <dcterms:modified xsi:type="dcterms:W3CDTF">2015-10-13T02:49:00Z</dcterms:modified>
</cp:coreProperties>
</file>